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0D" w:rsidRPr="00184399" w:rsidRDefault="00184399" w:rsidP="00EA68AE">
      <w:pPr>
        <w:spacing w:after="0" w:line="240" w:lineRule="auto"/>
        <w:jc w:val="center"/>
        <w:rPr>
          <w:rFonts w:ascii="Arial" w:hAnsi="Arial" w:cs="Arial"/>
          <w:b/>
          <w:sz w:val="30"/>
          <w:szCs w:val="30"/>
          <w:u w:val="single"/>
        </w:rPr>
      </w:pPr>
      <w:r>
        <w:rPr>
          <w:rFonts w:ascii="Arial" w:hAnsi="Arial" w:cs="Arial"/>
          <w:b/>
          <w:sz w:val="30"/>
          <w:szCs w:val="30"/>
          <w:u w:val="single"/>
        </w:rPr>
        <w:t xml:space="preserve">La caracterización </w:t>
      </w:r>
      <w:r w:rsidR="008874C1">
        <w:rPr>
          <w:rFonts w:ascii="Arial" w:hAnsi="Arial" w:cs="Arial"/>
          <w:b/>
          <w:sz w:val="30"/>
          <w:szCs w:val="30"/>
          <w:u w:val="single"/>
        </w:rPr>
        <w:t xml:space="preserve">europea </w:t>
      </w:r>
      <w:r>
        <w:rPr>
          <w:rFonts w:ascii="Arial" w:hAnsi="Arial" w:cs="Arial"/>
          <w:b/>
          <w:sz w:val="30"/>
          <w:szCs w:val="30"/>
          <w:u w:val="single"/>
        </w:rPr>
        <w:t xml:space="preserve">de </w:t>
      </w:r>
      <w:r w:rsidRPr="001731C1">
        <w:rPr>
          <w:rFonts w:ascii="Arial" w:hAnsi="Arial" w:cs="Arial"/>
          <w:b/>
          <w:sz w:val="30"/>
          <w:szCs w:val="30"/>
          <w:u w:val="single"/>
        </w:rPr>
        <w:t>la obligación de</w:t>
      </w:r>
      <w:r w:rsidR="0007408E">
        <w:rPr>
          <w:rFonts w:ascii="Arial" w:hAnsi="Arial" w:cs="Arial"/>
          <w:b/>
          <w:sz w:val="30"/>
          <w:szCs w:val="30"/>
          <w:u w:val="single"/>
        </w:rPr>
        <w:t xml:space="preserve"> realizar ajustes razonables en el</w:t>
      </w:r>
      <w:r w:rsidRPr="001731C1">
        <w:rPr>
          <w:rFonts w:ascii="Arial" w:hAnsi="Arial" w:cs="Arial"/>
          <w:b/>
          <w:sz w:val="30"/>
          <w:szCs w:val="30"/>
          <w:u w:val="single"/>
        </w:rPr>
        <w:t xml:space="preserve"> puesto de trabajo</w:t>
      </w:r>
      <w:r>
        <w:rPr>
          <w:rFonts w:ascii="Arial" w:hAnsi="Arial" w:cs="Arial"/>
          <w:b/>
          <w:sz w:val="30"/>
          <w:szCs w:val="30"/>
          <w:u w:val="single"/>
        </w:rPr>
        <w:t xml:space="preserve"> de </w:t>
      </w:r>
      <w:r w:rsidRPr="001731C1">
        <w:rPr>
          <w:rFonts w:ascii="Arial" w:hAnsi="Arial" w:cs="Arial"/>
          <w:b/>
          <w:sz w:val="30"/>
          <w:szCs w:val="30"/>
          <w:u w:val="single"/>
        </w:rPr>
        <w:t>personas con discapacidad</w:t>
      </w:r>
      <w:r>
        <w:rPr>
          <w:rFonts w:ascii="Arial" w:hAnsi="Arial" w:cs="Arial"/>
          <w:b/>
          <w:sz w:val="30"/>
          <w:szCs w:val="30"/>
          <w:u w:val="single"/>
        </w:rPr>
        <w:t xml:space="preserve">. Reflexiones a propósito de su papel </w:t>
      </w:r>
      <w:r w:rsidR="00F03358" w:rsidRPr="001731C1">
        <w:rPr>
          <w:rFonts w:ascii="Arial" w:hAnsi="Arial" w:cs="Arial"/>
          <w:b/>
          <w:sz w:val="30"/>
          <w:szCs w:val="30"/>
          <w:u w:val="single"/>
        </w:rPr>
        <w:t>en la extinción del contrato de trabajo</w:t>
      </w:r>
      <w:r w:rsidR="00F11DD5">
        <w:rPr>
          <w:rStyle w:val="Refdenotaalpie"/>
          <w:rFonts w:ascii="Arial" w:hAnsi="Arial" w:cs="Arial"/>
          <w:b/>
          <w:sz w:val="30"/>
          <w:szCs w:val="30"/>
        </w:rPr>
        <w:footnoteReference w:id="3"/>
      </w:r>
    </w:p>
    <w:p w:rsidR="00FE210D" w:rsidRDefault="00FE210D" w:rsidP="00EA68AE">
      <w:pPr>
        <w:spacing w:after="0" w:line="360" w:lineRule="auto"/>
        <w:rPr>
          <w:rFonts w:ascii="Arial" w:hAnsi="Arial" w:cs="Arial"/>
        </w:rPr>
      </w:pPr>
    </w:p>
    <w:p w:rsidR="002C0D43" w:rsidRDefault="002C0D43" w:rsidP="00EA68AE">
      <w:pPr>
        <w:spacing w:after="0" w:line="360" w:lineRule="auto"/>
        <w:rPr>
          <w:rFonts w:ascii="Arial" w:hAnsi="Arial" w:cs="Arial"/>
        </w:rPr>
      </w:pPr>
    </w:p>
    <w:p w:rsidR="00ED5FF7" w:rsidRPr="009D4E11" w:rsidRDefault="00ED5FF7" w:rsidP="00ED5FF7">
      <w:pPr>
        <w:spacing w:after="0" w:line="360" w:lineRule="auto"/>
        <w:jc w:val="center"/>
        <w:rPr>
          <w:rFonts w:ascii="Arial" w:hAnsi="Arial" w:cs="Arial"/>
          <w:sz w:val="20"/>
          <w:szCs w:val="20"/>
        </w:rPr>
      </w:pPr>
      <w:r w:rsidRPr="009D4E11">
        <w:rPr>
          <w:rFonts w:ascii="Arial" w:hAnsi="Arial" w:cs="Arial"/>
          <w:sz w:val="20"/>
          <w:szCs w:val="20"/>
        </w:rPr>
        <w:t>XXVII</w:t>
      </w:r>
      <w:r w:rsidR="00D94BE2">
        <w:rPr>
          <w:rFonts w:ascii="Arial" w:hAnsi="Arial" w:cs="Arial"/>
          <w:sz w:val="20"/>
          <w:szCs w:val="20"/>
        </w:rPr>
        <w:t>I</w:t>
      </w:r>
      <w:r w:rsidRPr="009D4E11">
        <w:rPr>
          <w:rFonts w:ascii="Arial" w:hAnsi="Arial" w:cs="Arial"/>
          <w:sz w:val="20"/>
          <w:szCs w:val="20"/>
        </w:rPr>
        <w:t xml:space="preserve"> Jornadas Catalanas de Derecho Social</w:t>
      </w:r>
    </w:p>
    <w:p w:rsidR="00ED5FF7" w:rsidRPr="009D4E11" w:rsidRDefault="00ED5FF7" w:rsidP="00ED5FF7">
      <w:pPr>
        <w:spacing w:after="0" w:line="360" w:lineRule="auto"/>
        <w:jc w:val="center"/>
        <w:rPr>
          <w:rFonts w:ascii="Arial" w:hAnsi="Arial" w:cs="Arial"/>
          <w:sz w:val="20"/>
          <w:szCs w:val="20"/>
        </w:rPr>
      </w:pPr>
      <w:r w:rsidRPr="009D4E11">
        <w:rPr>
          <w:rFonts w:ascii="Arial" w:hAnsi="Arial" w:cs="Arial"/>
          <w:sz w:val="20"/>
          <w:szCs w:val="20"/>
        </w:rPr>
        <w:t>Comunicación presentada a la ponencia “</w:t>
      </w:r>
      <w:r w:rsidR="00F03358">
        <w:rPr>
          <w:rFonts w:ascii="Arial" w:hAnsi="Arial" w:cs="Arial"/>
          <w:sz w:val="20"/>
          <w:szCs w:val="20"/>
        </w:rPr>
        <w:t>La extinción del contrato de trabajo en la jurisprudencia del Tribunal de Justicia de la Unión Europea</w:t>
      </w:r>
      <w:r w:rsidRPr="009D4E11">
        <w:rPr>
          <w:rFonts w:ascii="Arial" w:hAnsi="Arial" w:cs="Arial"/>
          <w:bCs/>
          <w:sz w:val="20"/>
          <w:szCs w:val="20"/>
        </w:rPr>
        <w:t>”, realizada po</w:t>
      </w:r>
      <w:r w:rsidR="00AB5233">
        <w:rPr>
          <w:rFonts w:ascii="Arial" w:hAnsi="Arial" w:cs="Arial"/>
          <w:bCs/>
          <w:sz w:val="20"/>
          <w:szCs w:val="20"/>
        </w:rPr>
        <w:t xml:space="preserve">r D. Carlos Hugo Preciado </w:t>
      </w:r>
      <w:proofErr w:type="spellStart"/>
      <w:r w:rsidR="00AB5233">
        <w:rPr>
          <w:rFonts w:ascii="Arial" w:hAnsi="Arial" w:cs="Arial"/>
          <w:bCs/>
          <w:sz w:val="20"/>
          <w:szCs w:val="20"/>
        </w:rPr>
        <w:t>Domé</w:t>
      </w:r>
      <w:r w:rsidR="00F03358">
        <w:rPr>
          <w:rFonts w:ascii="Arial" w:hAnsi="Arial" w:cs="Arial"/>
          <w:bCs/>
          <w:sz w:val="20"/>
          <w:szCs w:val="20"/>
        </w:rPr>
        <w:t>nech</w:t>
      </w:r>
      <w:proofErr w:type="spellEnd"/>
      <w:r w:rsidR="00F03358">
        <w:rPr>
          <w:rFonts w:ascii="Arial" w:hAnsi="Arial" w:cs="Arial"/>
          <w:bCs/>
          <w:sz w:val="20"/>
          <w:szCs w:val="20"/>
        </w:rPr>
        <w:t xml:space="preserve"> y el Dr. Eduardo Rojo Torrecilla</w:t>
      </w:r>
      <w:r w:rsidRPr="009D4E11">
        <w:rPr>
          <w:rFonts w:ascii="Arial" w:hAnsi="Arial" w:cs="Arial"/>
          <w:bCs/>
          <w:sz w:val="20"/>
          <w:szCs w:val="20"/>
        </w:rPr>
        <w:t xml:space="preserve">. </w:t>
      </w:r>
    </w:p>
    <w:p w:rsidR="00A9248A" w:rsidRDefault="00A9248A" w:rsidP="00ED5FF7">
      <w:pPr>
        <w:spacing w:after="0" w:line="360" w:lineRule="auto"/>
        <w:jc w:val="center"/>
        <w:rPr>
          <w:rFonts w:ascii="Arial" w:hAnsi="Arial" w:cs="Arial"/>
        </w:rPr>
      </w:pPr>
    </w:p>
    <w:p w:rsidR="002C0D43" w:rsidRDefault="002C0D43" w:rsidP="00ED5FF7">
      <w:pPr>
        <w:spacing w:after="0" w:line="360" w:lineRule="auto"/>
        <w:jc w:val="center"/>
        <w:rPr>
          <w:rFonts w:ascii="Arial" w:hAnsi="Arial" w:cs="Arial"/>
        </w:rPr>
      </w:pPr>
    </w:p>
    <w:p w:rsidR="00FE210D" w:rsidRPr="00EA68AE" w:rsidRDefault="00FE210D" w:rsidP="00EA68AE">
      <w:pPr>
        <w:spacing w:after="0" w:line="360" w:lineRule="auto"/>
        <w:jc w:val="right"/>
        <w:rPr>
          <w:rFonts w:ascii="Arial" w:hAnsi="Arial" w:cs="Arial"/>
        </w:rPr>
      </w:pPr>
      <w:r w:rsidRPr="00EA68AE">
        <w:rPr>
          <w:rFonts w:ascii="Arial" w:hAnsi="Arial" w:cs="Arial"/>
        </w:rPr>
        <w:t xml:space="preserve">David Gutiérrez </w:t>
      </w:r>
      <w:proofErr w:type="spellStart"/>
      <w:r w:rsidRPr="00EA68AE">
        <w:rPr>
          <w:rFonts w:ascii="Arial" w:hAnsi="Arial" w:cs="Arial"/>
        </w:rPr>
        <w:t>Colominas</w:t>
      </w:r>
      <w:proofErr w:type="spellEnd"/>
    </w:p>
    <w:p w:rsidR="00FE210D" w:rsidRPr="00EA68AE" w:rsidRDefault="00FE210D" w:rsidP="00EA68AE">
      <w:pPr>
        <w:spacing w:after="0" w:line="360" w:lineRule="auto"/>
        <w:jc w:val="right"/>
        <w:rPr>
          <w:rFonts w:ascii="Arial" w:hAnsi="Arial" w:cs="Arial"/>
          <w:i/>
        </w:rPr>
      </w:pPr>
      <w:r w:rsidRPr="00EA68AE">
        <w:rPr>
          <w:rFonts w:ascii="Arial" w:hAnsi="Arial" w:cs="Arial"/>
          <w:i/>
        </w:rPr>
        <w:t xml:space="preserve">Personal Investigador en Formación (Programa FPU 2013) </w:t>
      </w:r>
    </w:p>
    <w:p w:rsidR="00FE210D" w:rsidRPr="00EA68AE" w:rsidRDefault="00FE210D" w:rsidP="00EA68AE">
      <w:pPr>
        <w:spacing w:after="0" w:line="360" w:lineRule="auto"/>
        <w:jc w:val="right"/>
        <w:rPr>
          <w:rFonts w:ascii="Arial" w:hAnsi="Arial" w:cs="Arial"/>
          <w:i/>
        </w:rPr>
      </w:pPr>
      <w:r w:rsidRPr="00EA68AE">
        <w:rPr>
          <w:rFonts w:ascii="Arial" w:hAnsi="Arial" w:cs="Arial"/>
          <w:i/>
        </w:rPr>
        <w:t xml:space="preserve">Universidad Autónoma de Barcelona. </w:t>
      </w:r>
    </w:p>
    <w:p w:rsidR="00FE210D" w:rsidRPr="00EA68AE" w:rsidRDefault="00FE210D" w:rsidP="00EA68AE">
      <w:pPr>
        <w:spacing w:after="0" w:line="360" w:lineRule="auto"/>
        <w:jc w:val="right"/>
        <w:rPr>
          <w:rFonts w:ascii="Arial" w:hAnsi="Arial" w:cs="Arial"/>
          <w:i/>
        </w:rPr>
      </w:pPr>
      <w:r w:rsidRPr="00EA68AE">
        <w:rPr>
          <w:rFonts w:ascii="Arial" w:hAnsi="Arial" w:cs="Arial"/>
          <w:i/>
        </w:rPr>
        <w:t>david.gutierrez@uab.cat</w:t>
      </w:r>
    </w:p>
    <w:p w:rsidR="00FE210D" w:rsidRPr="00EA68AE" w:rsidRDefault="00FE210D" w:rsidP="00EA68AE">
      <w:pPr>
        <w:spacing w:after="0" w:line="240" w:lineRule="auto"/>
        <w:rPr>
          <w:rFonts w:ascii="Arial" w:hAnsi="Arial" w:cs="Arial"/>
        </w:rPr>
      </w:pPr>
    </w:p>
    <w:p w:rsidR="00FE210D" w:rsidRPr="00EA68AE" w:rsidRDefault="00FE210D" w:rsidP="00EA68AE">
      <w:pPr>
        <w:spacing w:after="0" w:line="240" w:lineRule="auto"/>
        <w:rPr>
          <w:rFonts w:ascii="Arial" w:hAnsi="Arial" w:cs="Arial"/>
        </w:rPr>
      </w:pPr>
    </w:p>
    <w:p w:rsidR="00983E53" w:rsidRDefault="009D4E11" w:rsidP="005337F8">
      <w:pPr>
        <w:spacing w:after="0" w:line="360" w:lineRule="auto"/>
        <w:jc w:val="both"/>
        <w:rPr>
          <w:rFonts w:ascii="Arial" w:hAnsi="Arial" w:cs="Arial"/>
          <w:sz w:val="20"/>
          <w:szCs w:val="20"/>
        </w:rPr>
      </w:pPr>
      <w:r>
        <w:rPr>
          <w:rFonts w:ascii="Arial" w:hAnsi="Arial" w:cs="Arial"/>
          <w:b/>
        </w:rPr>
        <w:tab/>
      </w:r>
      <w:r w:rsidR="00FE210D" w:rsidRPr="00910090">
        <w:rPr>
          <w:rFonts w:ascii="Arial" w:hAnsi="Arial" w:cs="Arial"/>
          <w:b/>
          <w:sz w:val="20"/>
          <w:szCs w:val="20"/>
        </w:rPr>
        <w:t>SUMARIO</w:t>
      </w:r>
      <w:r w:rsidR="00014CAA" w:rsidRPr="00910090">
        <w:rPr>
          <w:rFonts w:ascii="Arial" w:hAnsi="Arial" w:cs="Arial"/>
          <w:sz w:val="20"/>
          <w:szCs w:val="20"/>
        </w:rPr>
        <w:t xml:space="preserve">: </w:t>
      </w:r>
      <w:r w:rsidR="00A350B1">
        <w:rPr>
          <w:rFonts w:ascii="Arial" w:hAnsi="Arial" w:cs="Arial"/>
          <w:sz w:val="20"/>
          <w:szCs w:val="20"/>
        </w:rPr>
        <w:t xml:space="preserve">1.- </w:t>
      </w:r>
      <w:r w:rsidR="00A350B1" w:rsidRPr="00A350B1">
        <w:rPr>
          <w:rFonts w:ascii="Arial" w:hAnsi="Arial" w:cs="Arial"/>
          <w:sz w:val="20"/>
          <w:szCs w:val="20"/>
        </w:rPr>
        <w:t>Introducción: La caracterización internacional de la obligación de realizar ajustes razonables en la Convención Internacional sobre lo</w:t>
      </w:r>
      <w:r w:rsidR="00A350B1">
        <w:rPr>
          <w:rFonts w:ascii="Arial" w:hAnsi="Arial" w:cs="Arial"/>
          <w:sz w:val="20"/>
          <w:szCs w:val="20"/>
        </w:rPr>
        <w:t>s Derechos de las Personas con D</w:t>
      </w:r>
      <w:r w:rsidR="00A350B1" w:rsidRPr="00A350B1">
        <w:rPr>
          <w:rFonts w:ascii="Arial" w:hAnsi="Arial" w:cs="Arial"/>
          <w:sz w:val="20"/>
          <w:szCs w:val="20"/>
        </w:rPr>
        <w:t>iscapacidad</w:t>
      </w:r>
      <w:r w:rsidR="00A350B1">
        <w:rPr>
          <w:rFonts w:ascii="Arial" w:hAnsi="Arial" w:cs="Arial"/>
          <w:sz w:val="20"/>
          <w:szCs w:val="20"/>
        </w:rPr>
        <w:t>;</w:t>
      </w:r>
      <w:r w:rsidR="005337F8" w:rsidRPr="005337F8">
        <w:rPr>
          <w:rFonts w:ascii="Arial" w:hAnsi="Arial" w:cs="Arial"/>
          <w:sz w:val="20"/>
          <w:szCs w:val="20"/>
        </w:rPr>
        <w:t>2.- La configuración europea de la obligación de realizar ajustes razonables</w:t>
      </w:r>
      <w:r w:rsidR="005337F8">
        <w:rPr>
          <w:rFonts w:ascii="Arial" w:hAnsi="Arial" w:cs="Arial"/>
          <w:sz w:val="20"/>
          <w:szCs w:val="20"/>
        </w:rPr>
        <w:t xml:space="preserve">; </w:t>
      </w:r>
      <w:r w:rsidR="005337F8" w:rsidRPr="005337F8">
        <w:rPr>
          <w:rFonts w:ascii="Arial" w:hAnsi="Arial" w:cs="Arial"/>
          <w:sz w:val="20"/>
          <w:szCs w:val="20"/>
        </w:rPr>
        <w:t>2.1.- El marco legal: La Directiva 2000/78/CE del Consejo de 27 de noviembre de 2000 relativa al establecimiento de un marco general para la igualdad de trato en el empleo y la ocupación</w:t>
      </w:r>
      <w:r w:rsidR="005337F8">
        <w:rPr>
          <w:rFonts w:ascii="Arial" w:hAnsi="Arial" w:cs="Arial"/>
          <w:sz w:val="20"/>
          <w:szCs w:val="20"/>
        </w:rPr>
        <w:t xml:space="preserve">; </w:t>
      </w:r>
      <w:r w:rsidR="00922AB4">
        <w:rPr>
          <w:rFonts w:ascii="Arial" w:hAnsi="Arial" w:cs="Arial"/>
          <w:sz w:val="20"/>
          <w:szCs w:val="20"/>
        </w:rPr>
        <w:t>2.2.- El</w:t>
      </w:r>
      <w:r w:rsidR="005337F8" w:rsidRPr="005337F8">
        <w:rPr>
          <w:rFonts w:ascii="Arial" w:hAnsi="Arial" w:cs="Arial"/>
          <w:sz w:val="20"/>
          <w:szCs w:val="20"/>
        </w:rPr>
        <w:t xml:space="preserve"> principal pronunciamiento del Tribunal de Justicia de la Unión Europea en materia de ajustes razonables: La Sentencia HK </w:t>
      </w:r>
      <w:proofErr w:type="spellStart"/>
      <w:r w:rsidR="005337F8" w:rsidRPr="005337F8">
        <w:rPr>
          <w:rFonts w:ascii="Arial" w:hAnsi="Arial" w:cs="Arial"/>
          <w:sz w:val="20"/>
          <w:szCs w:val="20"/>
        </w:rPr>
        <w:t>Danmark</w:t>
      </w:r>
      <w:proofErr w:type="spellEnd"/>
      <w:r w:rsidR="005337F8" w:rsidRPr="005337F8">
        <w:rPr>
          <w:rFonts w:ascii="Arial" w:hAnsi="Arial" w:cs="Arial"/>
          <w:sz w:val="20"/>
          <w:szCs w:val="20"/>
        </w:rPr>
        <w:t>, C-335/11</w:t>
      </w:r>
      <w:r w:rsidR="005337F8">
        <w:rPr>
          <w:rFonts w:ascii="Arial" w:hAnsi="Arial" w:cs="Arial"/>
          <w:sz w:val="20"/>
          <w:szCs w:val="20"/>
        </w:rPr>
        <w:t xml:space="preserve">; 3.- </w:t>
      </w:r>
      <w:r w:rsidR="005337F8" w:rsidRPr="005337F8">
        <w:rPr>
          <w:rFonts w:ascii="Arial" w:hAnsi="Arial" w:cs="Arial"/>
          <w:sz w:val="20"/>
          <w:szCs w:val="20"/>
        </w:rPr>
        <w:t>La obligación de realizar ajustes razonables como control previo en el marco de las extinciones de personas con discapacidad</w:t>
      </w:r>
    </w:p>
    <w:p w:rsidR="00866ABA" w:rsidRDefault="00866ABA" w:rsidP="00EA68AE">
      <w:pPr>
        <w:spacing w:after="0" w:line="240" w:lineRule="auto"/>
        <w:jc w:val="both"/>
        <w:rPr>
          <w:rFonts w:ascii="Arial" w:hAnsi="Arial" w:cs="Arial"/>
        </w:rPr>
      </w:pPr>
    </w:p>
    <w:p w:rsidR="002C0D43" w:rsidRDefault="002C0D43" w:rsidP="00EA68AE">
      <w:pPr>
        <w:spacing w:after="0" w:line="240" w:lineRule="auto"/>
        <w:jc w:val="both"/>
        <w:rPr>
          <w:rFonts w:ascii="Arial" w:hAnsi="Arial" w:cs="Arial"/>
        </w:rPr>
      </w:pPr>
      <w:bookmarkStart w:id="0" w:name="_GoBack"/>
      <w:bookmarkEnd w:id="0"/>
    </w:p>
    <w:p w:rsidR="002C0D43" w:rsidRDefault="002C0D43" w:rsidP="00EA68AE">
      <w:pPr>
        <w:spacing w:after="0" w:line="240" w:lineRule="auto"/>
        <w:jc w:val="both"/>
        <w:rPr>
          <w:rFonts w:ascii="Arial" w:hAnsi="Arial" w:cs="Arial"/>
        </w:rPr>
      </w:pPr>
    </w:p>
    <w:p w:rsidR="004222C6" w:rsidRDefault="00866ABA" w:rsidP="004222C6">
      <w:pPr>
        <w:spacing w:after="0" w:line="360" w:lineRule="auto"/>
        <w:jc w:val="both"/>
        <w:rPr>
          <w:rFonts w:ascii="Arial" w:hAnsi="Arial" w:cs="Arial"/>
        </w:rPr>
      </w:pPr>
      <w:r>
        <w:rPr>
          <w:rFonts w:ascii="Arial" w:hAnsi="Arial" w:cs="Arial"/>
          <w:u w:val="single"/>
        </w:rPr>
        <w:t>1</w:t>
      </w:r>
      <w:r w:rsidR="004222C6" w:rsidRPr="00B170FB">
        <w:rPr>
          <w:rFonts w:ascii="Arial" w:hAnsi="Arial" w:cs="Arial"/>
          <w:u w:val="single"/>
        </w:rPr>
        <w:t xml:space="preserve">.- </w:t>
      </w:r>
      <w:r>
        <w:rPr>
          <w:rFonts w:ascii="Arial" w:hAnsi="Arial" w:cs="Arial"/>
          <w:u w:val="single"/>
        </w:rPr>
        <w:t>Introducción: La caracterización internacional de la obligación de realizar ajustes razonables en la Convención Internacional sobre los Derechos de las Personas con discapacidad</w:t>
      </w:r>
    </w:p>
    <w:p w:rsidR="00983E53" w:rsidRDefault="002C0AAC" w:rsidP="00F11DD5">
      <w:pPr>
        <w:spacing w:after="0" w:line="360" w:lineRule="auto"/>
        <w:jc w:val="both"/>
        <w:rPr>
          <w:rFonts w:ascii="Arial" w:hAnsi="Arial" w:cs="Arial"/>
          <w:bCs/>
          <w:lang w:val="es-ES_tradnl"/>
        </w:rPr>
      </w:pPr>
      <w:r>
        <w:rPr>
          <w:rFonts w:ascii="Arial" w:hAnsi="Arial" w:cs="Arial"/>
        </w:rPr>
        <w:tab/>
      </w:r>
      <w:r w:rsidR="00F11DD5" w:rsidRPr="00F11DD5">
        <w:rPr>
          <w:rFonts w:ascii="Arial" w:hAnsi="Arial" w:cs="Arial"/>
          <w:bCs/>
          <w:lang w:val="es-ES_tradnl"/>
        </w:rPr>
        <w:t>La inserción de las personas con discapacidad en el ámbito del empleo ordinario es un objetivo que ha sido perseguido firmemente</w:t>
      </w:r>
      <w:r w:rsidR="00F11DD5">
        <w:rPr>
          <w:rFonts w:ascii="Arial" w:hAnsi="Arial" w:cs="Arial"/>
          <w:bCs/>
          <w:lang w:val="es-ES_tradnl"/>
        </w:rPr>
        <w:t xml:space="preserve"> durante los últimos años</w:t>
      </w:r>
      <w:r w:rsidR="00F11DD5" w:rsidRPr="00F11DD5">
        <w:rPr>
          <w:rFonts w:ascii="Arial" w:hAnsi="Arial" w:cs="Arial"/>
          <w:bCs/>
          <w:lang w:val="es-ES_tradnl"/>
        </w:rPr>
        <w:t xml:space="preserve">, </w:t>
      </w:r>
      <w:r w:rsidR="00F11DD5">
        <w:rPr>
          <w:rFonts w:ascii="Arial" w:hAnsi="Arial" w:cs="Arial"/>
          <w:bCs/>
          <w:lang w:val="es-ES_tradnl"/>
        </w:rPr>
        <w:t xml:space="preserve">como </w:t>
      </w:r>
      <w:r w:rsidR="00F11DD5">
        <w:rPr>
          <w:rFonts w:ascii="Arial" w:hAnsi="Arial" w:cs="Arial"/>
          <w:bCs/>
          <w:lang w:val="es-ES_tradnl"/>
        </w:rPr>
        <w:lastRenderedPageBreak/>
        <w:t>consecuencia del surgimiento del modelo social de tratamiento de discapacidad</w:t>
      </w:r>
      <w:r w:rsidR="003B00E9">
        <w:rPr>
          <w:rStyle w:val="Refdenotaalpie"/>
          <w:rFonts w:ascii="Arial" w:hAnsi="Arial" w:cs="Arial"/>
          <w:bCs/>
          <w:lang w:val="es-ES_tradnl"/>
        </w:rPr>
        <w:footnoteReference w:id="4"/>
      </w:r>
      <w:r w:rsidR="00F11DD5">
        <w:rPr>
          <w:rFonts w:ascii="Arial" w:hAnsi="Arial" w:cs="Arial"/>
          <w:bCs/>
          <w:lang w:val="es-ES_tradnl"/>
        </w:rPr>
        <w:t>.</w:t>
      </w:r>
      <w:r w:rsidR="003B00E9">
        <w:rPr>
          <w:rFonts w:ascii="Arial" w:hAnsi="Arial" w:cs="Arial"/>
          <w:bCs/>
          <w:lang w:val="es-ES_tradnl"/>
        </w:rPr>
        <w:t>En líneas generales, e</w:t>
      </w:r>
      <w:r w:rsidR="00983E53">
        <w:rPr>
          <w:rFonts w:ascii="Arial" w:hAnsi="Arial" w:cs="Arial"/>
          <w:bCs/>
          <w:lang w:val="es-ES_tradnl"/>
        </w:rPr>
        <w:t xml:space="preserve">ste paradigma sostiene una conceptualización que </w:t>
      </w:r>
      <w:r w:rsidR="00983E53" w:rsidRPr="002316C6">
        <w:rPr>
          <w:rFonts w:ascii="Arial" w:hAnsi="Arial" w:cs="Arial"/>
        </w:rPr>
        <w:t>rechaza de plano la asunción individual de la responsabili</w:t>
      </w:r>
      <w:r w:rsidR="00983E53">
        <w:rPr>
          <w:rFonts w:ascii="Arial" w:hAnsi="Arial" w:cs="Arial"/>
        </w:rPr>
        <w:t xml:space="preserve">dad derivada de la discapacidad, </w:t>
      </w:r>
      <w:r w:rsidR="00983E53" w:rsidRPr="002316C6">
        <w:rPr>
          <w:rFonts w:ascii="Arial" w:hAnsi="Arial" w:cs="Arial"/>
        </w:rPr>
        <w:t>y enfatiza la discapacidad como un</w:t>
      </w:r>
      <w:r w:rsidR="00983E53">
        <w:rPr>
          <w:rFonts w:ascii="Arial" w:hAnsi="Arial" w:cs="Arial"/>
        </w:rPr>
        <w:t>a dificultad que ostenta la sociedad para ofrecer espacios accesibles a</w:t>
      </w:r>
      <w:r w:rsidR="00BA48D0">
        <w:rPr>
          <w:rFonts w:ascii="Arial" w:hAnsi="Arial" w:cs="Arial"/>
        </w:rPr>
        <w:t xml:space="preserve"> todas las </w:t>
      </w:r>
      <w:r w:rsidR="00983E53">
        <w:rPr>
          <w:rFonts w:ascii="Arial" w:hAnsi="Arial" w:cs="Arial"/>
        </w:rPr>
        <w:t xml:space="preserve">personas. </w:t>
      </w:r>
      <w:r w:rsidR="00F44044">
        <w:rPr>
          <w:rFonts w:ascii="Arial" w:hAnsi="Arial" w:cs="Arial"/>
          <w:bCs/>
          <w:lang w:val="es-ES_tradnl"/>
        </w:rPr>
        <w:t xml:space="preserve">El propósito principal de su implementación persigue lograr </w:t>
      </w:r>
      <w:r w:rsidR="00F11DD5" w:rsidRPr="00F11DD5">
        <w:rPr>
          <w:rFonts w:ascii="Arial" w:hAnsi="Arial" w:cs="Arial"/>
          <w:bCs/>
          <w:lang w:val="es-ES_tradnl"/>
        </w:rPr>
        <w:t>la integración laboral e igualdad de oportunidades plena de este colectivo</w:t>
      </w:r>
      <w:r w:rsidR="00983E53">
        <w:rPr>
          <w:rFonts w:ascii="Arial" w:hAnsi="Arial" w:cs="Arial"/>
          <w:bCs/>
          <w:lang w:val="es-ES_tradnl"/>
        </w:rPr>
        <w:t xml:space="preserve"> mediante la normalización y la adaptación</w:t>
      </w:r>
      <w:r w:rsidR="00556A05">
        <w:rPr>
          <w:rFonts w:ascii="Arial" w:hAnsi="Arial" w:cs="Arial"/>
          <w:bCs/>
          <w:lang w:val="es-ES_tradnl"/>
        </w:rPr>
        <w:t xml:space="preserve"> </w:t>
      </w:r>
      <w:r w:rsidR="00983E53">
        <w:rPr>
          <w:rFonts w:ascii="Arial" w:hAnsi="Arial" w:cs="Arial"/>
          <w:bCs/>
          <w:lang w:val="es-ES_tradnl"/>
        </w:rPr>
        <w:t xml:space="preserve">de </w:t>
      </w:r>
      <w:r w:rsidR="00F44044">
        <w:rPr>
          <w:rFonts w:ascii="Arial" w:hAnsi="Arial" w:cs="Arial"/>
          <w:bCs/>
          <w:lang w:val="es-ES_tradnl"/>
        </w:rPr>
        <w:t>los ámbitos de la sociedad</w:t>
      </w:r>
      <w:r w:rsidR="00983E53">
        <w:rPr>
          <w:rFonts w:ascii="Arial" w:hAnsi="Arial" w:cs="Arial"/>
          <w:bCs/>
          <w:lang w:val="es-ES_tradnl"/>
        </w:rPr>
        <w:t xml:space="preserve"> a los individuos</w:t>
      </w:r>
      <w:r w:rsidR="00F11DD5" w:rsidRPr="00F11DD5">
        <w:rPr>
          <w:rFonts w:ascii="Arial" w:hAnsi="Arial" w:cs="Arial"/>
          <w:bCs/>
          <w:lang w:val="es-ES_tradnl"/>
        </w:rPr>
        <w:t xml:space="preserve">. </w:t>
      </w:r>
    </w:p>
    <w:p w:rsidR="003B00E9" w:rsidRDefault="003B00E9" w:rsidP="00F11DD5">
      <w:pPr>
        <w:spacing w:after="0" w:line="360" w:lineRule="auto"/>
        <w:jc w:val="both"/>
        <w:rPr>
          <w:rFonts w:ascii="Arial" w:hAnsi="Arial" w:cs="Arial"/>
          <w:bCs/>
          <w:lang w:val="es-ES_tradnl"/>
        </w:rPr>
      </w:pPr>
      <w:r>
        <w:rPr>
          <w:rFonts w:ascii="Arial" w:hAnsi="Arial" w:cs="Arial"/>
          <w:bCs/>
          <w:lang w:val="es-ES_tradnl"/>
        </w:rPr>
        <w:tab/>
        <w:t xml:space="preserve">La traslación a un plano normativo de esta forma de enfocar la discapacidad se produjo a nivel internacional mediante </w:t>
      </w:r>
      <w:r w:rsidRPr="00DB453C">
        <w:rPr>
          <w:rFonts w:ascii="Arial" w:hAnsi="Arial" w:cs="Arial"/>
          <w:bCs/>
          <w:lang w:val="es-ES_tradnl"/>
        </w:rPr>
        <w:t>la Convención Internacional sobre los Derechos de las Personas con Discapacidad (en adelante, la Convención), adoptada el 13 de Diciembre de 2006 por la Organización de Naciones Unidas</w:t>
      </w:r>
      <w:r>
        <w:rPr>
          <w:rFonts w:ascii="Arial" w:hAnsi="Arial" w:cs="Arial"/>
          <w:bCs/>
          <w:lang w:val="es-ES_tradnl"/>
        </w:rPr>
        <w:t>, si bien a nivel europeo existen manifestaciones previas significativas</w:t>
      </w:r>
      <w:r>
        <w:rPr>
          <w:rStyle w:val="Refdenotaalpie"/>
          <w:rFonts w:ascii="Arial" w:hAnsi="Arial" w:cs="Arial"/>
          <w:bCs/>
          <w:lang w:val="es-ES_tradnl"/>
        </w:rPr>
        <w:footnoteReference w:id="5"/>
      </w:r>
      <w:r w:rsidR="009B3132">
        <w:rPr>
          <w:rFonts w:ascii="Arial" w:hAnsi="Arial" w:cs="Arial"/>
          <w:bCs/>
          <w:lang w:val="es-ES_tradnl"/>
        </w:rPr>
        <w:t>, que serán objeto de comentario más adelante</w:t>
      </w:r>
      <w:r>
        <w:rPr>
          <w:rFonts w:ascii="Arial" w:hAnsi="Arial" w:cs="Arial"/>
          <w:bCs/>
          <w:lang w:val="es-ES_tradnl"/>
        </w:rPr>
        <w:t>.</w:t>
      </w:r>
    </w:p>
    <w:p w:rsidR="009B3132" w:rsidRDefault="009B3132" w:rsidP="00DB453C">
      <w:pPr>
        <w:spacing w:after="0" w:line="360" w:lineRule="auto"/>
        <w:jc w:val="both"/>
        <w:rPr>
          <w:rFonts w:ascii="Arial" w:hAnsi="Arial" w:cs="Arial"/>
        </w:rPr>
      </w:pPr>
      <w:r>
        <w:rPr>
          <w:rFonts w:ascii="Arial" w:hAnsi="Arial" w:cs="Arial"/>
          <w:bCs/>
          <w:lang w:val="es-ES_tradnl"/>
        </w:rPr>
        <w:tab/>
        <w:t xml:space="preserve">La Convención fue el primer instrumento internacional </w:t>
      </w:r>
      <w:r w:rsidR="00DB453C">
        <w:rPr>
          <w:rFonts w:ascii="Arial" w:hAnsi="Arial" w:cs="Arial"/>
        </w:rPr>
        <w:t>de carácter vinculante,</w:t>
      </w:r>
      <w:r w:rsidR="00556A05">
        <w:rPr>
          <w:rFonts w:ascii="Arial" w:hAnsi="Arial" w:cs="Arial"/>
        </w:rPr>
        <w:t xml:space="preserve"> </w:t>
      </w:r>
      <w:r w:rsidR="00DB453C">
        <w:rPr>
          <w:rFonts w:ascii="Arial" w:hAnsi="Arial" w:cs="Arial"/>
        </w:rPr>
        <w:t>y su gestación no fue un proceso sencillo</w:t>
      </w:r>
      <w:r w:rsidR="00DB453C">
        <w:rPr>
          <w:rStyle w:val="Refdenotaalpie"/>
          <w:rFonts w:ascii="Arial" w:hAnsi="Arial" w:cs="Arial"/>
        </w:rPr>
        <w:footnoteReference w:id="6"/>
      </w:r>
      <w:r w:rsidR="00DB453C">
        <w:rPr>
          <w:rFonts w:ascii="Arial" w:hAnsi="Arial" w:cs="Arial"/>
        </w:rPr>
        <w:t xml:space="preserve">. Esta característica no se tradujo necesariamente en una ruptura de las líneas dibujadas por las Normas Uniformes, que es el claro referente del que parte. Más bien, significó un cambio en la óptica del tratamiento de la discapacidad, influenciado hasta la fecha por el </w:t>
      </w:r>
      <w:proofErr w:type="spellStart"/>
      <w:r w:rsidR="00DB453C" w:rsidRPr="00393708">
        <w:rPr>
          <w:rFonts w:ascii="Arial" w:hAnsi="Arial" w:cs="Arial"/>
          <w:i/>
        </w:rPr>
        <w:t>softlaw</w:t>
      </w:r>
      <w:proofErr w:type="spellEnd"/>
      <w:r w:rsidR="00DB453C">
        <w:rPr>
          <w:rStyle w:val="Refdenotaalpie"/>
          <w:rFonts w:ascii="Arial" w:hAnsi="Arial" w:cs="Arial"/>
          <w:i/>
        </w:rPr>
        <w:footnoteReference w:id="7"/>
      </w:r>
      <w:r w:rsidR="00DB453C">
        <w:rPr>
          <w:rFonts w:ascii="Arial" w:hAnsi="Arial" w:cs="Arial"/>
        </w:rPr>
        <w:t xml:space="preserve">, redirigiendo la estructura normativa de principios </w:t>
      </w:r>
      <w:r w:rsidR="00DB453C">
        <w:rPr>
          <w:rFonts w:ascii="Arial" w:hAnsi="Arial" w:cs="Arial"/>
        </w:rPr>
        <w:lastRenderedPageBreak/>
        <w:t>y metas a derechos</w:t>
      </w:r>
      <w:r w:rsidR="00DB453C">
        <w:rPr>
          <w:rStyle w:val="Refdenotaalpie"/>
          <w:rFonts w:ascii="Arial" w:hAnsi="Arial" w:cs="Arial"/>
        </w:rPr>
        <w:footnoteReference w:id="8"/>
      </w:r>
      <w:r w:rsidR="00DB453C">
        <w:rPr>
          <w:rFonts w:ascii="Arial" w:hAnsi="Arial" w:cs="Arial"/>
        </w:rPr>
        <w:t>, e implementando la óptica americana de tratamiento de la discapacidad</w:t>
      </w:r>
      <w:r w:rsidR="00DB453C">
        <w:rPr>
          <w:rStyle w:val="Refdenotaalpie"/>
          <w:rFonts w:ascii="Arial" w:hAnsi="Arial" w:cs="Arial"/>
        </w:rPr>
        <w:footnoteReference w:id="9"/>
      </w:r>
      <w:r w:rsidR="00DB453C">
        <w:rPr>
          <w:rFonts w:ascii="Arial" w:hAnsi="Arial" w:cs="Arial"/>
        </w:rPr>
        <w:t>.</w:t>
      </w:r>
    </w:p>
    <w:p w:rsidR="00506DC5" w:rsidRDefault="009C3E24" w:rsidP="001731C1">
      <w:pPr>
        <w:spacing w:after="0" w:line="360" w:lineRule="auto"/>
        <w:jc w:val="both"/>
        <w:rPr>
          <w:rFonts w:ascii="Arial" w:hAnsi="Arial" w:cs="Arial"/>
        </w:rPr>
      </w:pPr>
      <w:r>
        <w:rPr>
          <w:rFonts w:ascii="Arial" w:hAnsi="Arial" w:cs="Arial"/>
        </w:rPr>
        <w:tab/>
      </w:r>
      <w:r w:rsidR="009B3132">
        <w:rPr>
          <w:rFonts w:ascii="Arial" w:hAnsi="Arial" w:cs="Arial"/>
        </w:rPr>
        <w:t xml:space="preserve">La premisa de la que parte esta norma es el fomento de </w:t>
      </w:r>
      <w:r w:rsidR="009B3132" w:rsidRPr="009B3132">
        <w:rPr>
          <w:rFonts w:ascii="Arial" w:hAnsi="Arial" w:cs="Arial"/>
        </w:rPr>
        <w:t>la participación plena y efectiva de las personas con discapacidad en la vida económica, social, cultural y política</w:t>
      </w:r>
      <w:r w:rsidR="009B3132">
        <w:rPr>
          <w:rFonts w:ascii="Arial" w:hAnsi="Arial" w:cs="Arial"/>
        </w:rPr>
        <w:t>, y los cincuenta artículos que la componen son tributarios de esta pretensión.</w:t>
      </w:r>
      <w:r>
        <w:rPr>
          <w:rFonts w:ascii="Arial" w:hAnsi="Arial" w:cs="Arial"/>
        </w:rPr>
        <w:t xml:space="preserve"> Para ello, se</w:t>
      </w:r>
      <w:r w:rsidR="009B3132">
        <w:rPr>
          <w:rFonts w:ascii="Arial" w:hAnsi="Arial" w:cs="Arial"/>
        </w:rPr>
        <w:t xml:space="preserve"> apuesta por </w:t>
      </w:r>
      <w:r>
        <w:rPr>
          <w:rFonts w:ascii="Arial" w:hAnsi="Arial" w:cs="Arial"/>
        </w:rPr>
        <w:t xml:space="preserve">un enfoque multidisciplinar, de tal suerte que </w:t>
      </w:r>
      <w:r w:rsidRPr="009C3E24">
        <w:rPr>
          <w:rFonts w:ascii="Arial" w:hAnsi="Arial" w:cs="Arial"/>
        </w:rPr>
        <w:t>podemos observar que trata ámbitos tan diversos como el acceso a la justicia (Art. 13), la educación (Art. 24), la salud (Art. 25), el trabajo y el empleo (Art. 27) o la protección social (Art. 28) por mencionar alguno de ellos</w:t>
      </w:r>
      <w:r w:rsidRPr="009C3E24">
        <w:rPr>
          <w:rFonts w:ascii="Arial" w:hAnsi="Arial" w:cs="Arial"/>
          <w:b/>
          <w:vertAlign w:val="superscript"/>
          <w:lang w:val="es-ES_tradnl"/>
        </w:rPr>
        <w:footnoteReference w:id="10"/>
      </w:r>
      <w:r w:rsidRPr="009C3E24">
        <w:rPr>
          <w:rFonts w:ascii="Arial" w:hAnsi="Arial" w:cs="Arial"/>
        </w:rPr>
        <w:t>.</w:t>
      </w:r>
    </w:p>
    <w:p w:rsidR="001731C1" w:rsidRDefault="00B17BA8" w:rsidP="00DB453C">
      <w:pPr>
        <w:spacing w:after="0" w:line="360" w:lineRule="auto"/>
        <w:jc w:val="both"/>
        <w:rPr>
          <w:rFonts w:ascii="Arial" w:hAnsi="Arial" w:cs="Arial"/>
        </w:rPr>
      </w:pPr>
      <w:r>
        <w:rPr>
          <w:rFonts w:ascii="Arial" w:hAnsi="Arial" w:cs="Arial"/>
        </w:rPr>
        <w:tab/>
      </w:r>
      <w:r w:rsidR="00866ABA">
        <w:rPr>
          <w:rFonts w:ascii="Arial" w:hAnsi="Arial" w:cs="Arial"/>
        </w:rPr>
        <w:t>No obstante, donde especialmente brilla la</w:t>
      </w:r>
      <w:r w:rsidR="00DF5684">
        <w:rPr>
          <w:rFonts w:ascii="Arial" w:hAnsi="Arial" w:cs="Arial"/>
        </w:rPr>
        <w:t xml:space="preserve"> Convención</w:t>
      </w:r>
      <w:r w:rsidR="00866ABA">
        <w:rPr>
          <w:rFonts w:ascii="Arial" w:hAnsi="Arial" w:cs="Arial"/>
        </w:rPr>
        <w:t xml:space="preserve"> es en su contenido.</w:t>
      </w:r>
      <w:r w:rsidR="00DF5684">
        <w:rPr>
          <w:rFonts w:ascii="Arial" w:hAnsi="Arial" w:cs="Arial"/>
        </w:rPr>
        <w:t xml:space="preserve"> Si bien algunos autores han señalado que entre sus innovaciones más importantes se encuentra trasladar la protección de este colectivo al plano de los derechos humanos</w:t>
      </w:r>
      <w:r w:rsidR="00DF5684">
        <w:rPr>
          <w:rStyle w:val="Refdenotaalpie"/>
          <w:rFonts w:ascii="Arial" w:hAnsi="Arial" w:cs="Arial"/>
        </w:rPr>
        <w:footnoteReference w:id="11"/>
      </w:r>
      <w:r w:rsidR="00DF5684">
        <w:rPr>
          <w:rFonts w:ascii="Arial" w:hAnsi="Arial" w:cs="Arial"/>
        </w:rPr>
        <w:t>, aumentar la visibilidad de las personas con discapacidad o exigir el establecimiento de sistemas para supervisar exhaustivamente el ejercicio de los derechos de este colectivo</w:t>
      </w:r>
      <w:r w:rsidR="00DF5684">
        <w:rPr>
          <w:rStyle w:val="Refdenotaalpie"/>
          <w:rFonts w:ascii="Arial" w:hAnsi="Arial" w:cs="Arial"/>
        </w:rPr>
        <w:footnoteReference w:id="12"/>
      </w:r>
      <w:r w:rsidR="00DF5684">
        <w:rPr>
          <w:rFonts w:ascii="Arial" w:hAnsi="Arial" w:cs="Arial"/>
        </w:rPr>
        <w:t>, la virtud más destacada de esta norma es la formulación de su contenido en clave de derechos sin abandonar el lenguaje de principios y objetivos</w:t>
      </w:r>
      <w:r w:rsidR="00DF5684">
        <w:rPr>
          <w:rStyle w:val="Refdenotaalpie"/>
          <w:rFonts w:ascii="Arial" w:hAnsi="Arial" w:cs="Arial"/>
        </w:rPr>
        <w:footnoteReference w:id="13"/>
      </w:r>
      <w:r w:rsidR="00DF5684">
        <w:rPr>
          <w:rFonts w:ascii="Arial" w:hAnsi="Arial" w:cs="Arial"/>
        </w:rPr>
        <w:t xml:space="preserve">. </w:t>
      </w:r>
    </w:p>
    <w:p w:rsidR="001731C1" w:rsidRDefault="001731C1" w:rsidP="001254D0">
      <w:pPr>
        <w:spacing w:after="0" w:line="360" w:lineRule="auto"/>
        <w:jc w:val="both"/>
        <w:rPr>
          <w:rFonts w:ascii="Arial" w:hAnsi="Arial" w:cs="Arial"/>
        </w:rPr>
      </w:pPr>
      <w:r>
        <w:rPr>
          <w:rFonts w:ascii="Arial" w:hAnsi="Arial" w:cs="Arial"/>
        </w:rPr>
        <w:lastRenderedPageBreak/>
        <w:tab/>
      </w:r>
      <w:r w:rsidR="00B17BA8">
        <w:rPr>
          <w:rFonts w:ascii="Arial" w:hAnsi="Arial" w:cs="Arial"/>
        </w:rPr>
        <w:t>De hecho, la piedra angular que convierte a la Convención en una norma de importancia capital no fue</w:t>
      </w:r>
      <w:r w:rsidR="0055074E">
        <w:rPr>
          <w:rFonts w:ascii="Arial" w:hAnsi="Arial" w:cs="Arial"/>
        </w:rPr>
        <w:t xml:space="preserve"> solamente</w:t>
      </w:r>
      <w:r w:rsidR="00B17BA8">
        <w:rPr>
          <w:rFonts w:ascii="Arial" w:hAnsi="Arial" w:cs="Arial"/>
        </w:rPr>
        <w:t xml:space="preserve"> la plasmación de un catálogo de nuevos </w:t>
      </w:r>
      <w:r w:rsidR="00B17BA8" w:rsidRPr="00142711">
        <w:rPr>
          <w:rFonts w:ascii="Arial" w:hAnsi="Arial" w:cs="Arial"/>
        </w:rPr>
        <w:t>derechos</w:t>
      </w:r>
      <w:r w:rsidR="00B17BA8">
        <w:rPr>
          <w:rFonts w:ascii="Arial" w:hAnsi="Arial" w:cs="Arial"/>
        </w:rPr>
        <w:t xml:space="preserve">, sino </w:t>
      </w:r>
      <w:r w:rsidR="00B17BA8" w:rsidRPr="00A44068">
        <w:rPr>
          <w:rFonts w:ascii="Arial" w:hAnsi="Arial" w:cs="Arial"/>
          <w:i/>
        </w:rPr>
        <w:t>asegurar el uso del principio de no discriminación</w:t>
      </w:r>
      <w:r w:rsidR="00B17BA8">
        <w:rPr>
          <w:rStyle w:val="Refdenotaalpie"/>
          <w:rFonts w:ascii="Arial" w:hAnsi="Arial" w:cs="Arial"/>
          <w:i/>
        </w:rPr>
        <w:footnoteReference w:id="14"/>
      </w:r>
      <w:r w:rsidR="00B17BA8">
        <w:rPr>
          <w:rFonts w:ascii="Arial" w:hAnsi="Arial" w:cs="Arial"/>
        </w:rPr>
        <w:t xml:space="preserve">, de tal forma que se </w:t>
      </w:r>
      <w:r w:rsidR="0055074E">
        <w:rPr>
          <w:rFonts w:ascii="Arial" w:hAnsi="Arial" w:cs="Arial"/>
        </w:rPr>
        <w:t xml:space="preserve">integra </w:t>
      </w:r>
      <w:r w:rsidR="00B17BA8">
        <w:rPr>
          <w:rFonts w:ascii="Arial" w:hAnsi="Arial" w:cs="Arial"/>
        </w:rPr>
        <w:t>el citado principio en cada uno de ellos.</w:t>
      </w:r>
      <w:r w:rsidR="001254D0">
        <w:rPr>
          <w:rFonts w:ascii="Arial" w:hAnsi="Arial" w:cs="Arial"/>
        </w:rPr>
        <w:t xml:space="preserve"> Para ello, se introduce un modelo de tratamiento de la discapacidad basado fundamentalmente en la accesibilidad. </w:t>
      </w:r>
      <w:r w:rsidR="0055074E">
        <w:rPr>
          <w:rFonts w:ascii="Arial" w:hAnsi="Arial" w:cs="Arial"/>
        </w:rPr>
        <w:t>L</w:t>
      </w:r>
      <w:r w:rsidR="001254D0">
        <w:rPr>
          <w:rFonts w:ascii="Arial" w:hAnsi="Arial" w:cs="Arial"/>
        </w:rPr>
        <w:t xml:space="preserve">a norma aboga por fomentar la integración desde la perspectiva de la transformación de las infraestructuras sociales. En </w:t>
      </w:r>
      <w:r w:rsidR="0055074E">
        <w:rPr>
          <w:rFonts w:ascii="Arial" w:hAnsi="Arial" w:cs="Arial"/>
        </w:rPr>
        <w:t xml:space="preserve">puridad, </w:t>
      </w:r>
      <w:r w:rsidR="001254D0">
        <w:rPr>
          <w:rFonts w:ascii="Arial" w:hAnsi="Arial" w:cs="Arial"/>
        </w:rPr>
        <w:t>la</w:t>
      </w:r>
      <w:r w:rsidR="0055074E">
        <w:rPr>
          <w:rFonts w:ascii="Arial" w:hAnsi="Arial" w:cs="Arial"/>
        </w:rPr>
        <w:t xml:space="preserve"> convención afirma que la</w:t>
      </w:r>
      <w:r w:rsidR="001254D0">
        <w:rPr>
          <w:rFonts w:ascii="Arial" w:hAnsi="Arial" w:cs="Arial"/>
        </w:rPr>
        <w:t xml:space="preserve"> integración de las personas con discapacidad exige centrar el debate en los defectos que presenta la sociedad, y se apuesta principalmente por la transformación de entornos, instalaciones, bienes y servicios excluyentes e inaccesibles. </w:t>
      </w:r>
    </w:p>
    <w:p w:rsidR="00866ABA" w:rsidRDefault="001731C1" w:rsidP="001254D0">
      <w:pPr>
        <w:spacing w:after="0" w:line="360" w:lineRule="auto"/>
        <w:jc w:val="both"/>
        <w:rPr>
          <w:rFonts w:ascii="Arial" w:hAnsi="Arial" w:cs="Arial"/>
        </w:rPr>
      </w:pPr>
      <w:r>
        <w:rPr>
          <w:rFonts w:ascii="Arial" w:hAnsi="Arial" w:cs="Arial"/>
        </w:rPr>
        <w:tab/>
      </w:r>
      <w:r w:rsidR="00B17BA8">
        <w:rPr>
          <w:rFonts w:ascii="Arial" w:hAnsi="Arial" w:cs="Arial"/>
        </w:rPr>
        <w:t xml:space="preserve">Y es aquí donde aparece otra de las novedades más destacadas de la Convención: </w:t>
      </w:r>
      <w:r w:rsidR="001254D0">
        <w:rPr>
          <w:rFonts w:ascii="Arial" w:hAnsi="Arial" w:cs="Arial"/>
        </w:rPr>
        <w:t>l</w:t>
      </w:r>
      <w:r w:rsidR="00B17BA8">
        <w:rPr>
          <w:rFonts w:ascii="Arial" w:hAnsi="Arial" w:cs="Arial"/>
        </w:rPr>
        <w:t>a obligación de adaptar los entornos de diversos ámbitos para lograr una participación plena de este colectivo</w:t>
      </w:r>
      <w:r w:rsidR="0055074E">
        <w:rPr>
          <w:rFonts w:ascii="Arial" w:hAnsi="Arial" w:cs="Arial"/>
        </w:rPr>
        <w:t xml:space="preserve"> como manifestación de la accesibilidad</w:t>
      </w:r>
      <w:r w:rsidR="00B17BA8">
        <w:rPr>
          <w:rFonts w:ascii="Arial" w:hAnsi="Arial" w:cs="Arial"/>
        </w:rPr>
        <w:t xml:space="preserve">. Bajo la denominación de ajustes razonables, </w:t>
      </w:r>
      <w:r>
        <w:rPr>
          <w:rFonts w:ascii="Arial" w:hAnsi="Arial" w:cs="Arial"/>
          <w:i/>
        </w:rPr>
        <w:t xml:space="preserve">ex </w:t>
      </w:r>
      <w:r w:rsidRPr="001731C1">
        <w:rPr>
          <w:rFonts w:ascii="Arial" w:hAnsi="Arial" w:cs="Arial"/>
        </w:rPr>
        <w:t>art.</w:t>
      </w:r>
      <w:r w:rsidR="00B17BA8" w:rsidRPr="00DF5684">
        <w:rPr>
          <w:rFonts w:ascii="Arial" w:hAnsi="Arial" w:cs="Arial"/>
        </w:rPr>
        <w:t>5 párrafo tercero</w:t>
      </w:r>
      <w:r w:rsidR="001254D0">
        <w:rPr>
          <w:rFonts w:ascii="Arial" w:hAnsi="Arial" w:cs="Arial"/>
        </w:rPr>
        <w:t xml:space="preserve"> de la Convención, este instrumento internacional diseña una obligación que es definida en el artículo 2 de la citada norma como </w:t>
      </w:r>
      <w:r w:rsidR="001254D0" w:rsidRPr="001254D0">
        <w:rPr>
          <w:rFonts w:ascii="Arial" w:hAnsi="Arial" w:cs="Arial"/>
          <w:i/>
        </w:rPr>
        <w:t>“[...] las modificaciones y adaptaciones necesarias y adecuadas que no impongan una carga desproporcionada o indebida, cuando se requieran en un caso particular, para garantizar a las personas con discapacidad el goce o ejercicio, en igualdad de condiciones con los demás, de todos los derechos humanos y libertades</w:t>
      </w:r>
      <w:r w:rsidR="001254D0" w:rsidRPr="001254D0">
        <w:rPr>
          <w:rFonts w:ascii="Arial" w:hAnsi="Arial" w:cs="Arial"/>
        </w:rPr>
        <w:t>.” A partir de ahí, las referencias a la institución en los distintos ámbitos son paten</w:t>
      </w:r>
      <w:r w:rsidR="001254D0">
        <w:rPr>
          <w:rFonts w:ascii="Arial" w:hAnsi="Arial" w:cs="Arial"/>
        </w:rPr>
        <w:t>tes a lo largo de todo el texto</w:t>
      </w:r>
      <w:r w:rsidR="001254D0" w:rsidRPr="00F33B0B">
        <w:rPr>
          <w:rStyle w:val="Refdenotaalpie"/>
          <w:szCs w:val="24"/>
          <w:lang w:val="es-ES_tradnl"/>
        </w:rPr>
        <w:footnoteReference w:id="15"/>
      </w:r>
      <w:r w:rsidR="001254D0" w:rsidRPr="001254D0">
        <w:rPr>
          <w:rFonts w:ascii="Arial" w:hAnsi="Arial" w:cs="Arial"/>
        </w:rPr>
        <w:t>.</w:t>
      </w:r>
      <w:r w:rsidR="001254D0">
        <w:rPr>
          <w:rFonts w:ascii="Arial" w:hAnsi="Arial" w:cs="Arial"/>
        </w:rPr>
        <w:t xml:space="preserve"> Hasta la fecha, la presencia de esta medida era más bien tímida</w:t>
      </w:r>
      <w:r w:rsidR="001254D0">
        <w:rPr>
          <w:rStyle w:val="Refdenotaalpie"/>
          <w:rFonts w:ascii="Arial" w:hAnsi="Arial" w:cs="Arial"/>
        </w:rPr>
        <w:footnoteReference w:id="16"/>
      </w:r>
      <w:r w:rsidR="001254D0">
        <w:rPr>
          <w:rFonts w:ascii="Arial" w:hAnsi="Arial" w:cs="Arial"/>
        </w:rPr>
        <w:t>, pero la irrupción del modelo social como paradigma de tratamiento de la discapacidad ha cambiado esta tendencia</w:t>
      </w:r>
      <w:r w:rsidR="0055074E">
        <w:rPr>
          <w:rFonts w:ascii="Arial" w:hAnsi="Arial" w:cs="Arial"/>
        </w:rPr>
        <w:t xml:space="preserve"> a nivel normat</w:t>
      </w:r>
      <w:r w:rsidR="00A01D38">
        <w:rPr>
          <w:rFonts w:ascii="Arial" w:hAnsi="Arial" w:cs="Arial"/>
        </w:rPr>
        <w:t>i</w:t>
      </w:r>
      <w:r w:rsidR="0055074E">
        <w:rPr>
          <w:rFonts w:ascii="Arial" w:hAnsi="Arial" w:cs="Arial"/>
        </w:rPr>
        <w:t>vo</w:t>
      </w:r>
      <w:r w:rsidR="001254D0">
        <w:rPr>
          <w:rFonts w:ascii="Arial" w:hAnsi="Arial" w:cs="Arial"/>
        </w:rPr>
        <w:t>.</w:t>
      </w:r>
      <w:r w:rsidR="00A01D38">
        <w:rPr>
          <w:rFonts w:ascii="Arial" w:hAnsi="Arial" w:cs="Arial"/>
        </w:rPr>
        <w:t xml:space="preserve"> Así,</w:t>
      </w:r>
      <w:r w:rsidR="00556A05">
        <w:rPr>
          <w:rFonts w:ascii="Arial" w:hAnsi="Arial" w:cs="Arial"/>
        </w:rPr>
        <w:t xml:space="preserve"> </w:t>
      </w:r>
      <w:r w:rsidR="00A01D38">
        <w:rPr>
          <w:rFonts w:ascii="Arial" w:hAnsi="Arial" w:cs="Arial"/>
        </w:rPr>
        <w:t>l</w:t>
      </w:r>
      <w:r w:rsidR="00556A05">
        <w:rPr>
          <w:rFonts w:ascii="Arial" w:hAnsi="Arial" w:cs="Arial"/>
        </w:rPr>
        <w:t>os Estados p</w:t>
      </w:r>
      <w:r w:rsidR="001254D0">
        <w:rPr>
          <w:rFonts w:ascii="Arial" w:hAnsi="Arial" w:cs="Arial"/>
        </w:rPr>
        <w:t xml:space="preserve">artes consagraron los ajustes razonables como un instrumento universal sobre el que pivota el ejercicio de todos los derechos. </w:t>
      </w:r>
    </w:p>
    <w:p w:rsidR="00F16804" w:rsidRDefault="001731C1" w:rsidP="001731C1">
      <w:pPr>
        <w:spacing w:after="0" w:line="360" w:lineRule="auto"/>
        <w:jc w:val="both"/>
        <w:rPr>
          <w:rFonts w:ascii="Arial" w:hAnsi="Arial" w:cs="Arial"/>
        </w:rPr>
      </w:pPr>
      <w:r>
        <w:rPr>
          <w:rFonts w:ascii="Arial" w:hAnsi="Arial" w:cs="Arial"/>
        </w:rPr>
        <w:tab/>
      </w:r>
      <w:r w:rsidR="00556A05">
        <w:rPr>
          <w:rFonts w:ascii="Arial" w:hAnsi="Arial" w:cs="Arial"/>
        </w:rPr>
        <w:t>L</w:t>
      </w:r>
      <w:r w:rsidR="001254D0">
        <w:rPr>
          <w:rFonts w:ascii="Arial" w:hAnsi="Arial" w:cs="Arial"/>
        </w:rPr>
        <w:t>os ajustes raz</w:t>
      </w:r>
      <w:r w:rsidR="00556A05">
        <w:rPr>
          <w:rFonts w:ascii="Arial" w:hAnsi="Arial" w:cs="Arial"/>
        </w:rPr>
        <w:t xml:space="preserve">onables surgen, pues, </w:t>
      </w:r>
      <w:r w:rsidR="001254D0">
        <w:rPr>
          <w:rFonts w:ascii="Arial" w:hAnsi="Arial" w:cs="Arial"/>
        </w:rPr>
        <w:t>como herramienta para acomodar el entorno a  las necesidades individuales que pueden requerir las personas con discapacidad en un ámbito en particular, y supone</w:t>
      </w:r>
      <w:r w:rsidR="00556A05">
        <w:rPr>
          <w:rFonts w:ascii="Arial" w:hAnsi="Arial" w:cs="Arial"/>
        </w:rPr>
        <w:t>n</w:t>
      </w:r>
      <w:r w:rsidR="001254D0">
        <w:rPr>
          <w:rFonts w:ascii="Arial" w:hAnsi="Arial" w:cs="Arial"/>
        </w:rPr>
        <w:t xml:space="preserve"> una toma de conciencia respecto a la necesidad de efectuar </w:t>
      </w:r>
      <w:r w:rsidR="001254D0">
        <w:rPr>
          <w:rFonts w:ascii="Arial" w:hAnsi="Arial" w:cs="Arial"/>
        </w:rPr>
        <w:lastRenderedPageBreak/>
        <w:t>adaptaciones para lograr la igualdad de oportunidades</w:t>
      </w:r>
      <w:r w:rsidR="001254D0">
        <w:rPr>
          <w:rStyle w:val="Refdenotaalpie"/>
          <w:rFonts w:ascii="Arial" w:hAnsi="Arial" w:cs="Arial"/>
        </w:rPr>
        <w:footnoteReference w:id="17"/>
      </w:r>
      <w:r w:rsidR="001254D0">
        <w:rPr>
          <w:rFonts w:ascii="Arial" w:hAnsi="Arial" w:cs="Arial"/>
        </w:rPr>
        <w:t xml:space="preserve">. </w:t>
      </w:r>
      <w:r w:rsidR="00E85989">
        <w:rPr>
          <w:rFonts w:ascii="Arial" w:hAnsi="Arial" w:cs="Arial"/>
        </w:rPr>
        <w:t xml:space="preserve">En particular, la previsión de los ajustes razonables cumple con la voluntad normativa de la convención, consistente en la implementación de la accesibilidad universal, y surge como garantía durante la transición social hacia una plena accesibilidad. Una voluntad normativa que, dicho sea de paso, apuesta por la accesibilidad universal como política de actuación para lograr la inclusión plena de las personas con discapacidad, y en este punto, los ajustes razonables juegan un papel determinante, pues constituyen la materialización de esta línea normativa en cada ámbito. </w:t>
      </w:r>
      <w:r w:rsidR="001254D0">
        <w:rPr>
          <w:rFonts w:ascii="Arial" w:hAnsi="Arial" w:cs="Arial"/>
        </w:rPr>
        <w:t xml:space="preserve">En consecuencia, nos encontramos ante la irrupción de un nuevo paradigma en el tratamiento de la discapacidad que pretende superar las limitaciones inherentes a aproximación tradicionales basadas en la rehabilitación de este colectivo. Tal es la importancia que los Estados Parte han querido transferir a esta medida que se vincula como un mecanismo de igualdad de oportunidades aplicable a cualquier ámbito y cuyo incumplimiento se calificará como una conducta discriminatoria </w:t>
      </w:r>
      <w:r w:rsidR="001254D0">
        <w:rPr>
          <w:rFonts w:ascii="Arial" w:hAnsi="Arial" w:cs="Arial"/>
          <w:i/>
        </w:rPr>
        <w:t>ex</w:t>
      </w:r>
      <w:r w:rsidR="001254D0">
        <w:rPr>
          <w:rFonts w:ascii="Arial" w:hAnsi="Arial" w:cs="Arial"/>
        </w:rPr>
        <w:t xml:space="preserve"> artículo 2 de la Convención</w:t>
      </w:r>
      <w:r w:rsidR="00F16804">
        <w:rPr>
          <w:rFonts w:ascii="Arial" w:hAnsi="Arial" w:cs="Arial"/>
        </w:rPr>
        <w:t>.</w:t>
      </w:r>
    </w:p>
    <w:p w:rsidR="00F16804" w:rsidRDefault="00AA6DD5" w:rsidP="00AA6DD5">
      <w:pPr>
        <w:spacing w:after="0" w:line="360" w:lineRule="auto"/>
        <w:jc w:val="both"/>
        <w:rPr>
          <w:rFonts w:ascii="Arial" w:hAnsi="Arial" w:cs="Arial"/>
        </w:rPr>
      </w:pPr>
      <w:r>
        <w:rPr>
          <w:rFonts w:ascii="Arial" w:hAnsi="Arial" w:cs="Arial"/>
        </w:rPr>
        <w:tab/>
        <w:t xml:space="preserve">El alcance de esta obligación es especialmente significativo en la </w:t>
      </w:r>
      <w:r w:rsidR="001731C1">
        <w:rPr>
          <w:rFonts w:ascii="Arial" w:hAnsi="Arial" w:cs="Arial"/>
        </w:rPr>
        <w:t>instrumentación del derecho al trabajo</w:t>
      </w:r>
      <w:r>
        <w:rPr>
          <w:rFonts w:ascii="Arial" w:hAnsi="Arial" w:cs="Arial"/>
        </w:rPr>
        <w:t>. El artículo 27 de la Convención introduce como mecanismo de igualdad de oportunidades en el empleo una novedad significativa: la realización de ajustes razonables en el lugar de trabajo</w:t>
      </w:r>
      <w:r>
        <w:rPr>
          <w:rStyle w:val="Refdenotaalpie"/>
          <w:rFonts w:ascii="Arial" w:hAnsi="Arial" w:cs="Arial"/>
        </w:rPr>
        <w:footnoteReference w:id="18"/>
      </w:r>
      <w:r>
        <w:rPr>
          <w:rFonts w:ascii="Arial" w:hAnsi="Arial" w:cs="Arial"/>
        </w:rPr>
        <w:t xml:space="preserve">. Se trata de una clara manifestación del principio de accesibilidad universal en un campo en el que las medidas habituales destinadas a la integración se centraban exclusivamente en la previsión de incentivos. </w:t>
      </w:r>
      <w:r w:rsidR="00F16804">
        <w:rPr>
          <w:rFonts w:ascii="Arial" w:hAnsi="Arial" w:cs="Arial"/>
        </w:rPr>
        <w:t>Lamentablemente, su configuración es especialmente pobre, ya que la Convención opta por ofrecer una definición general de la institución no contextualizada en el ámbito laboral</w:t>
      </w:r>
      <w:r w:rsidR="00F16804">
        <w:rPr>
          <w:rStyle w:val="Refdenotaalpie"/>
          <w:rFonts w:ascii="Arial" w:hAnsi="Arial" w:cs="Arial"/>
        </w:rPr>
        <w:footnoteReference w:id="19"/>
      </w:r>
      <w:r w:rsidR="00F16804">
        <w:rPr>
          <w:rFonts w:ascii="Arial" w:hAnsi="Arial" w:cs="Arial"/>
        </w:rPr>
        <w:t>. De hecho, no se concretan los criterios orientadores de su aplicación en el empleo, y este es el principal defecto que puede achacarse a la previsión de esta institución en la Convención. Especialmente acuciante es la omisión del significado de la expresión “carga desproporcionada o indebida”, concepto este sobre el que el artículo 5 de la Directiva 2000/78 s</w:t>
      </w:r>
      <w:r w:rsidR="00FF6FB0">
        <w:rPr>
          <w:rFonts w:ascii="Arial" w:hAnsi="Arial" w:cs="Arial"/>
        </w:rPr>
        <w:t>í</w:t>
      </w:r>
      <w:r w:rsidR="00F16804">
        <w:rPr>
          <w:rFonts w:ascii="Arial" w:hAnsi="Arial" w:cs="Arial"/>
        </w:rPr>
        <w:t xml:space="preserve"> que se pronuncia, y sobre el que, probablemente, no existió un consenso generalizado de su significado.</w:t>
      </w:r>
    </w:p>
    <w:p w:rsidR="009B5924" w:rsidRDefault="00F16804" w:rsidP="002D4772">
      <w:pPr>
        <w:spacing w:after="0" w:line="360" w:lineRule="auto"/>
        <w:jc w:val="both"/>
        <w:rPr>
          <w:rFonts w:ascii="Arial" w:hAnsi="Arial" w:cs="Arial"/>
        </w:rPr>
      </w:pPr>
      <w:r>
        <w:rPr>
          <w:rFonts w:ascii="Arial" w:hAnsi="Arial" w:cs="Arial"/>
        </w:rPr>
        <w:tab/>
        <w:t xml:space="preserve">Ahora bien, la Convención evidencia una especial preocupación por el mantenimiento y a la salvaguarda del derecho al trabajo incluso en aquellos supuestos en los que la discapacidad se origina o detecta durante la relación laboral. La </w:t>
      </w:r>
      <w:proofErr w:type="spellStart"/>
      <w:r>
        <w:rPr>
          <w:rFonts w:ascii="Arial" w:hAnsi="Arial" w:cs="Arial"/>
          <w:i/>
        </w:rPr>
        <w:t>voluntas</w:t>
      </w:r>
      <w:proofErr w:type="spellEnd"/>
      <w:r w:rsidR="004131C1">
        <w:rPr>
          <w:rFonts w:ascii="Arial" w:hAnsi="Arial" w:cs="Arial"/>
          <w:i/>
        </w:rPr>
        <w:t xml:space="preserve"> </w:t>
      </w:r>
      <w:proofErr w:type="spellStart"/>
      <w:r>
        <w:rPr>
          <w:rFonts w:ascii="Arial" w:hAnsi="Arial" w:cs="Arial"/>
          <w:i/>
        </w:rPr>
        <w:lastRenderedPageBreak/>
        <w:t>legislatoris</w:t>
      </w:r>
      <w:proofErr w:type="spellEnd"/>
      <w:r w:rsidR="004131C1">
        <w:rPr>
          <w:rFonts w:ascii="Arial" w:hAnsi="Arial" w:cs="Arial"/>
          <w:i/>
        </w:rPr>
        <w:t xml:space="preserve"> </w:t>
      </w:r>
      <w:r w:rsidR="002D4772">
        <w:rPr>
          <w:rFonts w:ascii="Arial" w:hAnsi="Arial" w:cs="Arial"/>
        </w:rPr>
        <w:t>apuesta por la normalización</w:t>
      </w:r>
      <w:r w:rsidR="002D4772">
        <w:rPr>
          <w:rStyle w:val="Refdenotaalpie"/>
          <w:rFonts w:ascii="Arial" w:hAnsi="Arial" w:cs="Arial"/>
        </w:rPr>
        <w:footnoteReference w:id="20"/>
      </w:r>
      <w:r>
        <w:rPr>
          <w:rFonts w:ascii="Arial" w:hAnsi="Arial" w:cs="Arial"/>
        </w:rPr>
        <w:t>,</w:t>
      </w:r>
      <w:r w:rsidR="002D4772">
        <w:rPr>
          <w:rFonts w:ascii="Arial" w:hAnsi="Arial" w:cs="Arial"/>
        </w:rPr>
        <w:t xml:space="preserve"> e instrumenta como protección para el mantenimiento del empleo diversas medidas, entre las que se incluye </w:t>
      </w:r>
      <w:r w:rsidR="002D4772" w:rsidRPr="002D4772">
        <w:rPr>
          <w:rFonts w:ascii="Arial" w:hAnsi="Arial" w:cs="Arial"/>
          <w:i/>
        </w:rPr>
        <w:t>velar por que se realicen ajustes razonables para las personas con discapacidad en el lugar de trabajo</w:t>
      </w:r>
      <w:r w:rsidR="00DC795B">
        <w:rPr>
          <w:rStyle w:val="Refdenotaalpie"/>
          <w:rFonts w:ascii="Arial" w:hAnsi="Arial" w:cs="Arial"/>
          <w:i/>
        </w:rPr>
        <w:footnoteReference w:id="21"/>
      </w:r>
      <w:r w:rsidR="00DC795B">
        <w:rPr>
          <w:rFonts w:ascii="Arial" w:hAnsi="Arial" w:cs="Arial"/>
        </w:rPr>
        <w:t xml:space="preserve">. </w:t>
      </w:r>
      <w:r w:rsidR="00E85989">
        <w:rPr>
          <w:rFonts w:ascii="Arial" w:hAnsi="Arial" w:cs="Arial"/>
        </w:rPr>
        <w:t>De hecho, la tutela que ofrece la Convención incluye de forma expresa a aquellos trabajadores que, durante la relación de trabajo adquieren una discapacidad. Esta precisión, si bien parece menor, osten</w:t>
      </w:r>
      <w:r w:rsidR="009064E9">
        <w:rPr>
          <w:rFonts w:ascii="Arial" w:hAnsi="Arial" w:cs="Arial"/>
        </w:rPr>
        <w:t xml:space="preserve">ta una importancia indiscutible, </w:t>
      </w:r>
      <w:r w:rsidR="00E85989">
        <w:rPr>
          <w:rFonts w:ascii="Arial" w:hAnsi="Arial" w:cs="Arial"/>
        </w:rPr>
        <w:t xml:space="preserve">pues reconoce la posibilidad de aplicarle a un trabajador las medidas de protección del derecho al trabajo en el momento en el que adquiera la consideración de persona con discapacidad. A efectos prácticos, esta inclusión establece un mandato indirecto de protección contra el despido del trabajador por ineptitud sobrevenida, dado que extiende, como ya se ha señalado anteriormente, la protección conferida a las personas con discapacidad. </w:t>
      </w:r>
    </w:p>
    <w:p w:rsidR="00F16804" w:rsidRDefault="009B5924" w:rsidP="00AA6DD5">
      <w:pPr>
        <w:spacing w:after="0" w:line="360" w:lineRule="auto"/>
        <w:jc w:val="both"/>
        <w:rPr>
          <w:rFonts w:ascii="Arial" w:hAnsi="Arial" w:cs="Arial"/>
        </w:rPr>
      </w:pPr>
      <w:r>
        <w:rPr>
          <w:rFonts w:ascii="Arial" w:hAnsi="Arial" w:cs="Arial"/>
        </w:rPr>
        <w:tab/>
      </w:r>
      <w:r w:rsidR="00E85989">
        <w:rPr>
          <w:rFonts w:ascii="Arial" w:hAnsi="Arial" w:cs="Arial"/>
        </w:rPr>
        <w:t>Sin embargo, la Convención no cla</w:t>
      </w:r>
      <w:r>
        <w:rPr>
          <w:rFonts w:ascii="Arial" w:hAnsi="Arial" w:cs="Arial"/>
        </w:rPr>
        <w:t xml:space="preserve">rifica cómo encaja esta obligación en aquellos supuestos en los que el empleador pretende extinguir contratos de trabajo. </w:t>
      </w:r>
      <w:r w:rsidR="00DC795B">
        <w:rPr>
          <w:rFonts w:ascii="Arial" w:hAnsi="Arial" w:cs="Arial"/>
        </w:rPr>
        <w:t>La incardinación de esta obligación como medida que persigue la salvaguarda del derecho al trabajo plantea la necesidad de reflexionar sobre el papel</w:t>
      </w:r>
      <w:r w:rsidR="009064E9">
        <w:rPr>
          <w:rFonts w:ascii="Arial" w:hAnsi="Arial" w:cs="Arial"/>
        </w:rPr>
        <w:t xml:space="preserve"> que</w:t>
      </w:r>
      <w:r w:rsidR="00DC795B">
        <w:rPr>
          <w:rFonts w:ascii="Arial" w:hAnsi="Arial" w:cs="Arial"/>
        </w:rPr>
        <w:t xml:space="preserve"> desempeña la mencionada obligación en la extinción del contrato de trabajo de personas con discapacidad. Y es en este punto en el que surge el propósito de la presente comunicación, que pretende ofrecer una respuesta</w:t>
      </w:r>
      <w:r w:rsidR="00E23094">
        <w:rPr>
          <w:rFonts w:ascii="Arial" w:hAnsi="Arial" w:cs="Arial"/>
        </w:rPr>
        <w:t>, desde un punto de vista europeo,</w:t>
      </w:r>
      <w:r w:rsidR="00DC795B">
        <w:rPr>
          <w:rFonts w:ascii="Arial" w:hAnsi="Arial" w:cs="Arial"/>
        </w:rPr>
        <w:t xml:space="preserve"> al encaje de la obligación de realizar ajustes razonables</w:t>
      </w:r>
      <w:r w:rsidR="00E23094">
        <w:rPr>
          <w:rFonts w:ascii="Arial" w:hAnsi="Arial" w:cs="Arial"/>
        </w:rPr>
        <w:t xml:space="preserve"> en las extinciones de  personas con discapacidad,</w:t>
      </w:r>
      <w:r w:rsidR="00DC795B">
        <w:rPr>
          <w:rFonts w:ascii="Arial" w:hAnsi="Arial" w:cs="Arial"/>
        </w:rPr>
        <w:t xml:space="preserve"> como mecanismo de salvaguarda del empleo de las personas con discapacidad. </w:t>
      </w:r>
      <w:r w:rsidR="00F16804">
        <w:rPr>
          <w:rFonts w:ascii="Arial" w:hAnsi="Arial" w:cs="Arial"/>
        </w:rPr>
        <w:t>Para ello</w:t>
      </w:r>
      <w:r w:rsidR="00BE018B">
        <w:rPr>
          <w:rFonts w:ascii="Arial" w:hAnsi="Arial" w:cs="Arial"/>
        </w:rPr>
        <w:t>, se analizará la</w:t>
      </w:r>
      <w:r w:rsidR="00F16804">
        <w:rPr>
          <w:rFonts w:ascii="Arial" w:hAnsi="Arial" w:cs="Arial"/>
        </w:rPr>
        <w:t xml:space="preserve"> configuración legal</w:t>
      </w:r>
      <w:r w:rsidR="00BE018B">
        <w:rPr>
          <w:rFonts w:ascii="Arial" w:hAnsi="Arial" w:cs="Arial"/>
        </w:rPr>
        <w:t xml:space="preserve"> de la obligación</w:t>
      </w:r>
      <w:r w:rsidR="00F16804">
        <w:rPr>
          <w:rFonts w:ascii="Arial" w:hAnsi="Arial" w:cs="Arial"/>
        </w:rPr>
        <w:t xml:space="preserve"> a nivel europeo y las sentencias más importantes del TJUE que han incidido en su caracterización e interpretación. Una vez examinado el marco internacional y europeo, el siguiente paso será considerar su impacto en el marco de las extinciones del contrato de trabajo, es </w:t>
      </w:r>
      <w:proofErr w:type="spellStart"/>
      <w:r w:rsidR="00F16804">
        <w:rPr>
          <w:rFonts w:ascii="Arial" w:hAnsi="Arial" w:cs="Arial"/>
        </w:rPr>
        <w:t>decir</w:t>
      </w:r>
      <w:proofErr w:type="gramStart"/>
      <w:r w:rsidR="00F16804">
        <w:rPr>
          <w:rFonts w:ascii="Arial" w:hAnsi="Arial" w:cs="Arial"/>
        </w:rPr>
        <w:t>,</w:t>
      </w:r>
      <w:r w:rsidR="00AA6D90">
        <w:rPr>
          <w:rFonts w:ascii="Arial" w:hAnsi="Arial" w:cs="Arial"/>
        </w:rPr>
        <w:t>si</w:t>
      </w:r>
      <w:proofErr w:type="spellEnd"/>
      <w:proofErr w:type="gramEnd"/>
      <w:r w:rsidR="00AA6D90">
        <w:rPr>
          <w:rFonts w:ascii="Arial" w:hAnsi="Arial" w:cs="Arial"/>
        </w:rPr>
        <w:t xml:space="preserve"> la obligación de realizar ajustes razonables puede actuar como control previo a la extinción de las personas con discapacidad.</w:t>
      </w:r>
    </w:p>
    <w:p w:rsidR="001D3C1B" w:rsidRPr="00F24327" w:rsidRDefault="001D3C1B" w:rsidP="00B87994">
      <w:pPr>
        <w:spacing w:after="0" w:line="360" w:lineRule="auto"/>
        <w:jc w:val="both"/>
        <w:rPr>
          <w:rFonts w:ascii="Arial" w:hAnsi="Arial" w:cs="Arial"/>
        </w:rPr>
      </w:pPr>
    </w:p>
    <w:p w:rsidR="004443CF" w:rsidRPr="00F24327" w:rsidRDefault="00F24327" w:rsidP="00B87994">
      <w:pPr>
        <w:spacing w:after="0" w:line="360" w:lineRule="auto"/>
        <w:jc w:val="both"/>
        <w:rPr>
          <w:rFonts w:ascii="Arial" w:hAnsi="Arial" w:cs="Arial"/>
          <w:u w:val="single"/>
        </w:rPr>
      </w:pPr>
      <w:r w:rsidRPr="00F24327">
        <w:rPr>
          <w:rFonts w:ascii="Arial" w:hAnsi="Arial" w:cs="Arial"/>
          <w:u w:val="single"/>
        </w:rPr>
        <w:t>2.- La configuración europea de la obligación de realizar ajustes razonables</w:t>
      </w:r>
    </w:p>
    <w:p w:rsidR="00632D06" w:rsidRPr="00AB33FD" w:rsidRDefault="004443CF" w:rsidP="00B87994">
      <w:pPr>
        <w:spacing w:after="0" w:line="360" w:lineRule="auto"/>
        <w:jc w:val="both"/>
        <w:rPr>
          <w:rFonts w:ascii="Arial" w:hAnsi="Arial" w:cs="Arial"/>
          <w:u w:val="single"/>
        </w:rPr>
      </w:pPr>
      <w:r w:rsidRPr="00F24327">
        <w:rPr>
          <w:rFonts w:ascii="Arial" w:hAnsi="Arial" w:cs="Arial"/>
          <w:u w:val="single"/>
        </w:rPr>
        <w:t>2.1.-</w:t>
      </w:r>
      <w:r w:rsidR="00C66637">
        <w:rPr>
          <w:rFonts w:ascii="Arial" w:hAnsi="Arial" w:cs="Arial"/>
          <w:u w:val="single"/>
        </w:rPr>
        <w:t xml:space="preserve"> El marco legal:</w:t>
      </w:r>
      <w:r w:rsidR="004131C1">
        <w:rPr>
          <w:rFonts w:ascii="Arial" w:hAnsi="Arial" w:cs="Arial"/>
          <w:u w:val="single"/>
        </w:rPr>
        <w:t xml:space="preserve"> </w:t>
      </w:r>
      <w:r w:rsidR="00F24327" w:rsidRPr="00F24327">
        <w:rPr>
          <w:rFonts w:ascii="Arial" w:hAnsi="Arial" w:cs="Arial"/>
          <w:u w:val="single"/>
        </w:rPr>
        <w:t>La Directiva 2000/78/CE del Consejo de 27 de noviembre de 2000 relativa al establecimiento de un marco general para la igualdad de trato en el empleo y la ocupación</w:t>
      </w:r>
    </w:p>
    <w:p w:rsidR="00C6766A" w:rsidRDefault="00632D06" w:rsidP="00632D06">
      <w:pPr>
        <w:spacing w:after="0" w:line="360" w:lineRule="auto"/>
        <w:jc w:val="both"/>
        <w:rPr>
          <w:rFonts w:ascii="Arial" w:hAnsi="Arial" w:cs="Arial"/>
        </w:rPr>
      </w:pPr>
      <w:r w:rsidRPr="00632D06">
        <w:rPr>
          <w:rFonts w:ascii="Arial" w:hAnsi="Arial" w:cs="Arial"/>
        </w:rPr>
        <w:tab/>
      </w:r>
      <w:r w:rsidR="00A159BD">
        <w:rPr>
          <w:rFonts w:ascii="Arial" w:hAnsi="Arial" w:cs="Arial"/>
        </w:rPr>
        <w:t>E</w:t>
      </w:r>
      <w:r w:rsidRPr="00632D06">
        <w:rPr>
          <w:rFonts w:ascii="Arial" w:hAnsi="Arial" w:cs="Arial"/>
        </w:rPr>
        <w:t>l 27 de noviembre de 2000</w:t>
      </w:r>
      <w:r w:rsidR="00A159BD">
        <w:rPr>
          <w:rFonts w:ascii="Arial" w:hAnsi="Arial" w:cs="Arial"/>
        </w:rPr>
        <w:t>, el Consejo aprobó</w:t>
      </w:r>
      <w:r w:rsidRPr="00632D06">
        <w:rPr>
          <w:rFonts w:ascii="Arial" w:hAnsi="Arial" w:cs="Arial"/>
        </w:rPr>
        <w:t xml:space="preserve"> la Directiva 2000/78/CE, relativa al establecimiento de un marco general para la igualdad de trato en el empleo y la ocupación</w:t>
      </w:r>
      <w:r w:rsidR="00A159BD">
        <w:rPr>
          <w:rFonts w:ascii="Arial" w:hAnsi="Arial" w:cs="Arial"/>
        </w:rPr>
        <w:t xml:space="preserve"> (en adelante, Directiva 2000/78)</w:t>
      </w:r>
      <w:r w:rsidRPr="00632D06">
        <w:rPr>
          <w:rFonts w:ascii="Arial" w:hAnsi="Arial" w:cs="Arial"/>
        </w:rPr>
        <w:t xml:space="preserve">. Esta norma nace de la necesidad de armonizar el alcance, </w:t>
      </w:r>
      <w:r w:rsidRPr="00632D06">
        <w:rPr>
          <w:rFonts w:ascii="Arial" w:hAnsi="Arial" w:cs="Arial"/>
        </w:rPr>
        <w:lastRenderedPageBreak/>
        <w:t xml:space="preserve">contenido y eficacia jurídica de la prohibición de discriminación en el ámbito del empleo, pues la aplicación de este principio variaba </w:t>
      </w:r>
      <w:r w:rsidR="00B67B13">
        <w:rPr>
          <w:rFonts w:ascii="Arial" w:hAnsi="Arial" w:cs="Arial"/>
        </w:rPr>
        <w:t>notablemente entre los Estados m</w:t>
      </w:r>
      <w:r w:rsidRPr="00632D06">
        <w:rPr>
          <w:rFonts w:ascii="Arial" w:hAnsi="Arial" w:cs="Arial"/>
        </w:rPr>
        <w:t>iembros.</w:t>
      </w:r>
      <w:r w:rsidRPr="00632D06">
        <w:rPr>
          <w:rFonts w:ascii="Arial" w:hAnsi="Arial" w:cs="Arial"/>
        </w:rPr>
        <w:tab/>
      </w:r>
    </w:p>
    <w:p w:rsidR="00632D06" w:rsidRDefault="00C6766A" w:rsidP="00632D06">
      <w:pPr>
        <w:spacing w:after="0" w:line="360" w:lineRule="auto"/>
        <w:jc w:val="both"/>
        <w:rPr>
          <w:rFonts w:ascii="Arial" w:hAnsi="Arial" w:cs="Arial"/>
        </w:rPr>
      </w:pPr>
      <w:r>
        <w:rPr>
          <w:rFonts w:ascii="Arial" w:hAnsi="Arial" w:cs="Arial"/>
        </w:rPr>
        <w:tab/>
      </w:r>
      <w:r w:rsidR="00632D06" w:rsidRPr="00632D06">
        <w:rPr>
          <w:rFonts w:ascii="Arial" w:hAnsi="Arial" w:cs="Arial"/>
        </w:rPr>
        <w:t>Como ya ha podido advertirse, una de las características principales de esta directiva es su ámbito de aplicación mater</w:t>
      </w:r>
      <w:r>
        <w:rPr>
          <w:rFonts w:ascii="Arial" w:hAnsi="Arial" w:cs="Arial"/>
        </w:rPr>
        <w:t>ial, de carácter sectorial, que</w:t>
      </w:r>
      <w:r w:rsidR="00632D06" w:rsidRPr="00632D06">
        <w:rPr>
          <w:rFonts w:ascii="Arial" w:hAnsi="Arial" w:cs="Arial"/>
        </w:rPr>
        <w:t xml:space="preserve"> centra toda su atención en establecer un marco jurídico para lograr la igualdad de oportunidades, y erradicar la discriminación en el ámbito del empleo</w:t>
      </w:r>
      <w:r w:rsidR="00632D06" w:rsidRPr="00632D06">
        <w:rPr>
          <w:rFonts w:ascii="Arial" w:hAnsi="Arial" w:cs="Arial"/>
          <w:vertAlign w:val="superscript"/>
        </w:rPr>
        <w:footnoteReference w:id="22"/>
      </w:r>
      <w:r w:rsidR="00632D06" w:rsidRPr="00632D06">
        <w:rPr>
          <w:rFonts w:ascii="Arial" w:hAnsi="Arial" w:cs="Arial"/>
        </w:rPr>
        <w:t>, pero con voluntad de expansión horizontal</w:t>
      </w:r>
      <w:r w:rsidR="00632D06" w:rsidRPr="00632D06">
        <w:rPr>
          <w:rFonts w:ascii="Arial" w:hAnsi="Arial" w:cs="Arial"/>
          <w:vertAlign w:val="superscript"/>
        </w:rPr>
        <w:footnoteReference w:id="23"/>
      </w:r>
      <w:r w:rsidR="003C7968">
        <w:rPr>
          <w:rFonts w:ascii="Arial" w:hAnsi="Arial" w:cs="Arial"/>
        </w:rPr>
        <w:t>. P</w:t>
      </w:r>
      <w:r w:rsidR="00632D06" w:rsidRPr="00632D06">
        <w:rPr>
          <w:rFonts w:ascii="Arial" w:hAnsi="Arial" w:cs="Arial"/>
        </w:rPr>
        <w:t>ara ello, integra casi todas las causas de discriminación ya previstas en el artículo 13 del Tratado constitutivo de la Comunidad Europea (versión consolidada Ámsterdam)</w:t>
      </w:r>
      <w:r w:rsidR="00632D06" w:rsidRPr="00632D06">
        <w:rPr>
          <w:rFonts w:ascii="Arial" w:hAnsi="Arial" w:cs="Arial"/>
          <w:vertAlign w:val="superscript"/>
        </w:rPr>
        <w:footnoteReference w:id="24"/>
      </w:r>
      <w:r w:rsidR="00632D06" w:rsidRPr="00632D06">
        <w:rPr>
          <w:rFonts w:ascii="Arial" w:hAnsi="Arial" w:cs="Arial"/>
        </w:rPr>
        <w:t>, sin que exista ningún tipo de jerarquía o clasificación entre ellas</w:t>
      </w:r>
      <w:r w:rsidR="00632D06" w:rsidRPr="00632D06">
        <w:rPr>
          <w:rFonts w:ascii="Arial" w:hAnsi="Arial" w:cs="Arial"/>
          <w:vertAlign w:val="superscript"/>
        </w:rPr>
        <w:footnoteReference w:id="25"/>
      </w:r>
      <w:r w:rsidR="00632D06" w:rsidRPr="00632D06">
        <w:rPr>
          <w:rFonts w:ascii="Arial" w:hAnsi="Arial" w:cs="Arial"/>
        </w:rPr>
        <w:t>. De hecho, incluye disposiciones que abarcan todo tipo de acciones antidiscriminatorias: desde la calificación del acoso como comportamiento discriminatorio o la previsión de medidas de acción positiva hasta la inversión de la carga de la prueba ante los tribunales</w:t>
      </w:r>
      <w:r w:rsidR="00632D06" w:rsidRPr="00632D06">
        <w:rPr>
          <w:rFonts w:ascii="Arial" w:hAnsi="Arial" w:cs="Arial"/>
          <w:vertAlign w:val="superscript"/>
        </w:rPr>
        <w:footnoteReference w:id="26"/>
      </w:r>
      <w:r w:rsidR="00632D06" w:rsidRPr="00632D06">
        <w:rPr>
          <w:rFonts w:ascii="Arial" w:hAnsi="Arial" w:cs="Arial"/>
        </w:rPr>
        <w:t xml:space="preserve">. </w:t>
      </w:r>
    </w:p>
    <w:p w:rsidR="00632D06" w:rsidRPr="00632D06" w:rsidRDefault="00A159BD" w:rsidP="00632D06">
      <w:pPr>
        <w:spacing w:after="0" w:line="360" w:lineRule="auto"/>
        <w:jc w:val="both"/>
        <w:rPr>
          <w:rFonts w:ascii="Arial" w:hAnsi="Arial" w:cs="Arial"/>
        </w:rPr>
      </w:pPr>
      <w:r>
        <w:rPr>
          <w:rFonts w:ascii="Arial" w:hAnsi="Arial" w:cs="Arial"/>
        </w:rPr>
        <w:tab/>
        <w:t xml:space="preserve">Sin embargo, </w:t>
      </w:r>
      <w:r w:rsidR="00632D06" w:rsidRPr="00632D06">
        <w:rPr>
          <w:rFonts w:ascii="Arial" w:hAnsi="Arial" w:cs="Arial"/>
        </w:rPr>
        <w:t>la inclusión de la discapacidad como causa explícita</w:t>
      </w:r>
      <w:r>
        <w:rPr>
          <w:rFonts w:ascii="Arial" w:hAnsi="Arial" w:cs="Arial"/>
        </w:rPr>
        <w:t xml:space="preserve"> de no discriminación</w:t>
      </w:r>
      <w:r w:rsidR="00632D06" w:rsidRPr="00632D06">
        <w:rPr>
          <w:rFonts w:ascii="Arial" w:hAnsi="Arial" w:cs="Arial"/>
        </w:rPr>
        <w:t xml:space="preserve"> es uno de los puntos más importantes de esta Directiva. El Consejo, consciente</w:t>
      </w:r>
      <w:r w:rsidR="00637393">
        <w:rPr>
          <w:rFonts w:ascii="Arial" w:hAnsi="Arial" w:cs="Arial"/>
        </w:rPr>
        <w:t xml:space="preserve"> de la importancia de lograr la</w:t>
      </w:r>
      <w:r w:rsidR="00632D06" w:rsidRPr="00632D06">
        <w:rPr>
          <w:rFonts w:ascii="Arial" w:hAnsi="Arial" w:cs="Arial"/>
        </w:rPr>
        <w:t xml:space="preserve"> plena igualdad de oportunidades en el ámbito del </w:t>
      </w:r>
      <w:r w:rsidR="00632D06" w:rsidRPr="00632D06">
        <w:rPr>
          <w:rFonts w:ascii="Arial" w:hAnsi="Arial" w:cs="Arial"/>
        </w:rPr>
        <w:lastRenderedPageBreak/>
        <w:t>Derecho del Trabajo</w:t>
      </w:r>
      <w:r w:rsidR="00632D06" w:rsidRPr="00632D06">
        <w:rPr>
          <w:rFonts w:ascii="Arial" w:hAnsi="Arial" w:cs="Arial"/>
          <w:vertAlign w:val="superscript"/>
        </w:rPr>
        <w:footnoteReference w:id="27"/>
      </w:r>
      <w:r w:rsidR="00632D06" w:rsidRPr="00632D06">
        <w:rPr>
          <w:rFonts w:ascii="Arial" w:hAnsi="Arial" w:cs="Arial"/>
        </w:rPr>
        <w:t xml:space="preserve">, </w:t>
      </w:r>
      <w:r w:rsidR="00637393">
        <w:rPr>
          <w:rFonts w:ascii="Arial" w:hAnsi="Arial" w:cs="Arial"/>
        </w:rPr>
        <w:t xml:space="preserve">asume </w:t>
      </w:r>
      <w:r w:rsidR="00632D06" w:rsidRPr="00632D06">
        <w:rPr>
          <w:rFonts w:ascii="Arial" w:hAnsi="Arial" w:cs="Arial"/>
        </w:rPr>
        <w:t>u</w:t>
      </w:r>
      <w:r w:rsidR="00637393">
        <w:rPr>
          <w:rFonts w:ascii="Arial" w:hAnsi="Arial" w:cs="Arial"/>
        </w:rPr>
        <w:t>n enfoque que presta atención a</w:t>
      </w:r>
      <w:r w:rsidR="00632D06" w:rsidRPr="00632D06">
        <w:rPr>
          <w:rFonts w:ascii="Arial" w:hAnsi="Arial" w:cs="Arial"/>
        </w:rPr>
        <w:t xml:space="preserve"> la prevención y la eliminación de obstáculos. Para ello, la Directiva</w:t>
      </w:r>
      <w:r w:rsidR="00632D06">
        <w:rPr>
          <w:rFonts w:ascii="Arial" w:hAnsi="Arial" w:cs="Arial"/>
        </w:rPr>
        <w:t xml:space="preserve"> introduce</w:t>
      </w:r>
      <w:r w:rsidR="00632D06" w:rsidRPr="00632D06">
        <w:rPr>
          <w:rFonts w:ascii="Arial" w:hAnsi="Arial" w:cs="Arial"/>
        </w:rPr>
        <w:t xml:space="preserve"> la que es, con diferencia, la medida de mayor impacto a nivel europeo: la obligación de realizar ajustes razonables en el puesto de trabajo.</w:t>
      </w:r>
    </w:p>
    <w:p w:rsidR="00632D06" w:rsidRDefault="003B0B30" w:rsidP="00632D06">
      <w:pPr>
        <w:spacing w:after="0" w:line="360" w:lineRule="auto"/>
        <w:jc w:val="both"/>
        <w:rPr>
          <w:rFonts w:ascii="Arial" w:hAnsi="Arial" w:cs="Arial"/>
        </w:rPr>
      </w:pPr>
      <w:r>
        <w:rPr>
          <w:rFonts w:ascii="Arial" w:hAnsi="Arial" w:cs="Arial"/>
        </w:rPr>
        <w:tab/>
        <w:t>El artículo 5 de la Directiva 2000/78</w:t>
      </w:r>
      <w:r w:rsidR="004131C1">
        <w:rPr>
          <w:rFonts w:ascii="Arial" w:hAnsi="Arial" w:cs="Arial"/>
        </w:rPr>
        <w:t xml:space="preserve"> </w:t>
      </w:r>
      <w:r>
        <w:rPr>
          <w:rFonts w:ascii="Arial" w:hAnsi="Arial" w:cs="Arial"/>
        </w:rPr>
        <w:t xml:space="preserve">conceptualiza </w:t>
      </w:r>
      <w:r w:rsidR="003C7968">
        <w:rPr>
          <w:rFonts w:ascii="Arial" w:hAnsi="Arial" w:cs="Arial"/>
        </w:rPr>
        <w:t xml:space="preserve">esta medida </w:t>
      </w:r>
      <w:r w:rsidR="00632D06" w:rsidRPr="00632D06">
        <w:rPr>
          <w:rFonts w:ascii="Arial" w:hAnsi="Arial" w:cs="Arial"/>
        </w:rPr>
        <w:t>antidiscriminatoria, que no medida de acción positiva</w:t>
      </w:r>
      <w:r w:rsidR="00632D06" w:rsidRPr="00632D06">
        <w:rPr>
          <w:rFonts w:ascii="Arial" w:hAnsi="Arial" w:cs="Arial"/>
          <w:vertAlign w:val="superscript"/>
        </w:rPr>
        <w:footnoteReference w:id="28"/>
      </w:r>
      <w:r w:rsidR="00632D06" w:rsidRPr="00632D06">
        <w:rPr>
          <w:rFonts w:ascii="Arial" w:hAnsi="Arial" w:cs="Arial"/>
        </w:rPr>
        <w:t xml:space="preserve">, </w:t>
      </w:r>
      <w:r>
        <w:rPr>
          <w:rFonts w:ascii="Arial" w:hAnsi="Arial" w:cs="Arial"/>
        </w:rPr>
        <w:t>como una obligación dirigida</w:t>
      </w:r>
      <w:r w:rsidR="00632D06" w:rsidRPr="00632D06">
        <w:rPr>
          <w:rFonts w:ascii="Arial" w:hAnsi="Arial" w:cs="Arial"/>
        </w:rPr>
        <w:t xml:space="preserve"> a los empresarios</w:t>
      </w:r>
      <w:r>
        <w:rPr>
          <w:rFonts w:ascii="Arial" w:hAnsi="Arial" w:cs="Arial"/>
        </w:rPr>
        <w:t>, según la</w:t>
      </w:r>
      <w:r w:rsidR="003C7968">
        <w:rPr>
          <w:rFonts w:ascii="Arial" w:hAnsi="Arial" w:cs="Arial"/>
        </w:rPr>
        <w:t xml:space="preserve"> cual </w:t>
      </w:r>
      <w:r w:rsidR="00632D06" w:rsidRPr="00632D06">
        <w:rPr>
          <w:rFonts w:ascii="Arial" w:hAnsi="Arial" w:cs="Arial"/>
        </w:rPr>
        <w:t>deberán realizar</w:t>
      </w:r>
      <w:r w:rsidR="003C7968">
        <w:rPr>
          <w:rFonts w:ascii="Arial" w:hAnsi="Arial" w:cs="Arial"/>
        </w:rPr>
        <w:t>se</w:t>
      </w:r>
      <w:r w:rsidR="00632D06" w:rsidRPr="00632D06">
        <w:rPr>
          <w:rFonts w:ascii="Arial" w:hAnsi="Arial" w:cs="Arial"/>
        </w:rPr>
        <w:t xml:space="preserve"> ajustes razonables a fin de cumplir con el principio de igualdad de trato de este colectivo. </w:t>
      </w:r>
      <w:r>
        <w:rPr>
          <w:rFonts w:ascii="Arial" w:hAnsi="Arial" w:cs="Arial"/>
        </w:rPr>
        <w:t xml:space="preserve">Los ajustes razonables son definidos </w:t>
      </w:r>
      <w:r w:rsidR="00632D06" w:rsidRPr="00632D06">
        <w:rPr>
          <w:rFonts w:ascii="Arial" w:hAnsi="Arial" w:cs="Arial"/>
        </w:rPr>
        <w:t>como la adopción de las medidas a</w:t>
      </w:r>
      <w:r>
        <w:rPr>
          <w:rFonts w:ascii="Arial" w:hAnsi="Arial" w:cs="Arial"/>
        </w:rPr>
        <w:t>decuadas para que las personas con discapacidad</w:t>
      </w:r>
      <w:r w:rsidR="00632D06" w:rsidRPr="00632D06">
        <w:rPr>
          <w:rFonts w:ascii="Arial" w:hAnsi="Arial" w:cs="Arial"/>
        </w:rPr>
        <w:t xml:space="preserve"> pueda</w:t>
      </w:r>
      <w:r>
        <w:rPr>
          <w:rFonts w:ascii="Arial" w:hAnsi="Arial" w:cs="Arial"/>
        </w:rPr>
        <w:t>n</w:t>
      </w:r>
      <w:r w:rsidR="00632D06" w:rsidRPr="00632D06">
        <w:rPr>
          <w:rFonts w:ascii="Arial" w:hAnsi="Arial" w:cs="Arial"/>
        </w:rPr>
        <w:t xml:space="preserve"> acceder al empleo, tomar parte en el mismo, realizar formación o progresar profesionalmente</w:t>
      </w:r>
      <w:r w:rsidR="00632D06" w:rsidRPr="00632D06">
        <w:rPr>
          <w:rFonts w:ascii="Arial" w:hAnsi="Arial" w:cs="Arial"/>
          <w:vertAlign w:val="superscript"/>
        </w:rPr>
        <w:footnoteReference w:id="29"/>
      </w:r>
      <w:r w:rsidR="00632D06" w:rsidRPr="00632D06">
        <w:rPr>
          <w:rFonts w:ascii="Arial" w:hAnsi="Arial" w:cs="Arial"/>
        </w:rPr>
        <w:t xml:space="preserve">. No obstante, el empresario quedará eximido de </w:t>
      </w:r>
      <w:r>
        <w:rPr>
          <w:rFonts w:ascii="Arial" w:hAnsi="Arial" w:cs="Arial"/>
        </w:rPr>
        <w:t xml:space="preserve">su cumplimiento </w:t>
      </w:r>
      <w:r w:rsidR="00632D06" w:rsidRPr="00632D06">
        <w:rPr>
          <w:rFonts w:ascii="Arial" w:hAnsi="Arial" w:cs="Arial"/>
        </w:rPr>
        <w:t>en aquellos supuestos en los que la adopción de las medidas suponga una carga excesiva, circunstancia esta que no se producirá cuando la actuación empresarial sea paliada en grado suficiente mediante medidas existente en el Estado Miembro</w:t>
      </w:r>
      <w:r w:rsidR="00632D06" w:rsidRPr="00632D06">
        <w:rPr>
          <w:rFonts w:ascii="Arial" w:hAnsi="Arial" w:cs="Arial"/>
          <w:vertAlign w:val="superscript"/>
        </w:rPr>
        <w:footnoteReference w:id="30"/>
      </w:r>
      <w:r w:rsidR="00632D06" w:rsidRPr="00632D06">
        <w:rPr>
          <w:rFonts w:ascii="Arial" w:hAnsi="Arial" w:cs="Arial"/>
        </w:rPr>
        <w:t xml:space="preserve">. </w:t>
      </w:r>
    </w:p>
    <w:p w:rsidR="003C7968" w:rsidRDefault="00632D06" w:rsidP="00632D06">
      <w:pPr>
        <w:spacing w:after="0" w:line="360" w:lineRule="auto"/>
        <w:jc w:val="both"/>
        <w:rPr>
          <w:rFonts w:ascii="Arial" w:hAnsi="Arial" w:cs="Arial"/>
        </w:rPr>
      </w:pPr>
      <w:r>
        <w:rPr>
          <w:rFonts w:ascii="Arial" w:hAnsi="Arial" w:cs="Arial"/>
        </w:rPr>
        <w:tab/>
      </w:r>
      <w:r w:rsidRPr="00632D06">
        <w:rPr>
          <w:rFonts w:ascii="Arial" w:hAnsi="Arial" w:cs="Arial"/>
        </w:rPr>
        <w:t>Como puede observarse, nos encontramos ante una solución individual que pretende eliminar las barreras que impiden una participación plena y efectiva de las personas con discapacidad, y refleja el paradigma de la igualdad formal</w:t>
      </w:r>
      <w:r w:rsidRPr="00632D06">
        <w:rPr>
          <w:rFonts w:ascii="Arial" w:hAnsi="Arial" w:cs="Arial"/>
          <w:vertAlign w:val="superscript"/>
        </w:rPr>
        <w:footnoteReference w:id="31"/>
      </w:r>
      <w:r w:rsidRPr="00632D06">
        <w:rPr>
          <w:rFonts w:ascii="Arial" w:hAnsi="Arial" w:cs="Arial"/>
        </w:rPr>
        <w:t xml:space="preserve">. Se trata, pues, de una obligación empresarial autónoma, con entidad propia, incardinada dentro de la tutela antidiscriminatoria. </w:t>
      </w:r>
    </w:p>
    <w:p w:rsidR="003B2B51" w:rsidRDefault="003B2B51" w:rsidP="00632D06">
      <w:pPr>
        <w:spacing w:after="0" w:line="360" w:lineRule="auto"/>
        <w:jc w:val="both"/>
        <w:rPr>
          <w:rFonts w:ascii="Arial" w:hAnsi="Arial" w:cs="Arial"/>
        </w:rPr>
      </w:pPr>
      <w:r>
        <w:rPr>
          <w:rFonts w:ascii="Arial" w:hAnsi="Arial" w:cs="Arial"/>
        </w:rPr>
        <w:lastRenderedPageBreak/>
        <w:tab/>
        <w:t xml:space="preserve">En este punto, </w:t>
      </w:r>
      <w:r w:rsidR="00632D06" w:rsidRPr="00632D06">
        <w:rPr>
          <w:rFonts w:ascii="Arial" w:hAnsi="Arial" w:cs="Arial"/>
        </w:rPr>
        <w:t>conviene señalar que este mandato no debe ser confundido con otras disposiciones que, si bien pueden manifestar efectos similares en la práctica, se incardinan en la tutela preventiva en materia de seguridad y salud</w:t>
      </w:r>
      <w:r w:rsidR="00632D06" w:rsidRPr="00632D06">
        <w:rPr>
          <w:rFonts w:ascii="Arial" w:hAnsi="Arial" w:cs="Arial"/>
          <w:vertAlign w:val="superscript"/>
        </w:rPr>
        <w:footnoteReference w:id="32"/>
      </w:r>
      <w:r w:rsidR="00632D06" w:rsidRPr="00632D06">
        <w:rPr>
          <w:rFonts w:ascii="Arial" w:hAnsi="Arial" w:cs="Arial"/>
        </w:rPr>
        <w:t>.</w:t>
      </w:r>
      <w:r>
        <w:rPr>
          <w:rFonts w:ascii="Arial" w:hAnsi="Arial" w:cs="Arial"/>
        </w:rPr>
        <w:t xml:space="preserve">Ahora bien, es necesario clarificar </w:t>
      </w:r>
      <w:r w:rsidR="00632D06" w:rsidRPr="00632D06">
        <w:rPr>
          <w:rFonts w:ascii="Arial" w:hAnsi="Arial" w:cs="Arial"/>
        </w:rPr>
        <w:t>cómo interaccionan entre ellas, pues, en la práctica, pueden existir actuaciones preventivas en materia de salud y seguridad laboral cuya realización podría ser invocada por la parte em</w:t>
      </w:r>
      <w:r w:rsidR="00AB33FD">
        <w:rPr>
          <w:rFonts w:ascii="Arial" w:hAnsi="Arial" w:cs="Arial"/>
        </w:rPr>
        <w:t xml:space="preserve">presarial como ajuste razonable, </w:t>
      </w:r>
      <w:r w:rsidR="00632D06" w:rsidRPr="00632D06">
        <w:rPr>
          <w:rFonts w:ascii="Arial" w:hAnsi="Arial" w:cs="Arial"/>
        </w:rPr>
        <w:t xml:space="preserve">o cuya realización signifique un incremento económico que genere una carga desproporcionada. </w:t>
      </w:r>
    </w:p>
    <w:p w:rsidR="00632D06" w:rsidRPr="00632D06" w:rsidRDefault="003B2B51" w:rsidP="00632D06">
      <w:pPr>
        <w:spacing w:after="0" w:line="360" w:lineRule="auto"/>
        <w:jc w:val="both"/>
        <w:rPr>
          <w:rFonts w:ascii="Arial" w:hAnsi="Arial" w:cs="Arial"/>
        </w:rPr>
      </w:pPr>
      <w:r>
        <w:rPr>
          <w:rFonts w:ascii="Arial" w:hAnsi="Arial" w:cs="Arial"/>
        </w:rPr>
        <w:tab/>
      </w:r>
      <w:r w:rsidR="00632D06" w:rsidRPr="00632D06">
        <w:rPr>
          <w:rFonts w:ascii="Arial" w:hAnsi="Arial" w:cs="Arial"/>
        </w:rPr>
        <w:t xml:space="preserve">Como punto de partida, la realización de ajustes razonables se contempla como una obligación </w:t>
      </w:r>
      <w:r w:rsidR="00632D06" w:rsidRPr="00632D06">
        <w:rPr>
          <w:rFonts w:ascii="Arial" w:hAnsi="Arial" w:cs="Arial"/>
          <w:i/>
        </w:rPr>
        <w:t>ex</w:t>
      </w:r>
      <w:r w:rsidR="00632D06" w:rsidRPr="00632D06">
        <w:rPr>
          <w:rFonts w:ascii="Arial" w:hAnsi="Arial" w:cs="Arial"/>
        </w:rPr>
        <w:t xml:space="preserve"> artículo 5 Directiva 2000/78, conceptualización esta que difiere sustancialmente de la naturaleza de principio general de prevención constatado explícitamente en el artículo 6.2.d Directiva 89/391. La pertenencia a categorías distintas se ve reforzada por la incardinación en ámbitos de protección claramente diferenciados. En efecto, la obligación de realizar ajustes razonables está integrada en la Directiva 2000/78, centrada específicamente en la tutela antidiscriminatoria, y el principio de adaptar el puesto de trabajo a la persona se halla en la Directiva 89/391, cuyo foco de atención es la tutela preventiva en materia de salud y seguridad en el trabajo. Las diferencias se extienden incluso en su caracterización, siendo la más notable a los efectos de esta discusión la no consideración, por parte del principio de adaptar el puesto de trabajo, del coste económico a fin de realizar la actuación preventiva</w:t>
      </w:r>
      <w:r w:rsidR="00632D06" w:rsidRPr="00632D06">
        <w:rPr>
          <w:rFonts w:ascii="Arial" w:hAnsi="Arial" w:cs="Arial"/>
          <w:vertAlign w:val="superscript"/>
        </w:rPr>
        <w:footnoteReference w:id="33"/>
      </w:r>
      <w:r w:rsidR="00632D06" w:rsidRPr="00632D06">
        <w:rPr>
          <w:rFonts w:ascii="Arial" w:hAnsi="Arial" w:cs="Arial"/>
        </w:rPr>
        <w:t>. Esta separación normativa evidencia el carácter autónomo de la obligación de realizar ajustes razonables y que la voluntad del legislador fue la de diferenciar dos parcelas totalmente diferenciadas, una centrada en la implantación del principio de igualdad de trato en el empleo y la otra focalizada en la seguridad en el trabajo. Así, nos encontramos ante dos mandatos que operan en esferas de protección distintas y con caracterizaciones muy diversas, pero cuya retroalimentación es innegable</w:t>
      </w:r>
      <w:r w:rsidR="00632D06" w:rsidRPr="00632D06">
        <w:rPr>
          <w:rFonts w:ascii="Arial" w:hAnsi="Arial" w:cs="Arial"/>
          <w:vertAlign w:val="superscript"/>
        </w:rPr>
        <w:footnoteReference w:id="34"/>
      </w:r>
      <w:r w:rsidR="00632D06" w:rsidRPr="00632D06">
        <w:rPr>
          <w:rFonts w:ascii="Arial" w:hAnsi="Arial" w:cs="Arial"/>
        </w:rPr>
        <w:t>, conformando un marco jurídico de protección multinivel en el ámbito de las relaciones laborales. Esta relación de independencia nos lleva a concluir que aquellas actuaciones efectuadas en el marco de la instrumentación de la protección a la salud y el trabajo no pueden considerarse en la va</w:t>
      </w:r>
      <w:r w:rsidR="003B0B30">
        <w:rPr>
          <w:rFonts w:ascii="Arial" w:hAnsi="Arial" w:cs="Arial"/>
        </w:rPr>
        <w:t xml:space="preserve">loración de la existencia de </w:t>
      </w:r>
      <w:r w:rsidR="00632D06" w:rsidRPr="00632D06">
        <w:rPr>
          <w:rFonts w:ascii="Arial" w:hAnsi="Arial" w:cs="Arial"/>
        </w:rPr>
        <w:t xml:space="preserve">carga excesiva. </w:t>
      </w:r>
    </w:p>
    <w:p w:rsidR="00632D06" w:rsidRDefault="00632D06" w:rsidP="00632D06">
      <w:pPr>
        <w:spacing w:after="0" w:line="360" w:lineRule="auto"/>
        <w:jc w:val="both"/>
        <w:rPr>
          <w:rFonts w:ascii="Arial" w:hAnsi="Arial" w:cs="Arial"/>
        </w:rPr>
      </w:pPr>
      <w:r w:rsidRPr="00632D06">
        <w:rPr>
          <w:rFonts w:ascii="Arial" w:hAnsi="Arial" w:cs="Arial"/>
        </w:rPr>
        <w:lastRenderedPageBreak/>
        <w:tab/>
        <w:t xml:space="preserve">Para finalizar este apartado relativo a la Directiva 2000/78, es conveniente identificar  algunos aspectos negativos sobre los que la citada norma europea debería prestar una especial atención. </w:t>
      </w:r>
    </w:p>
    <w:p w:rsidR="00896877" w:rsidRPr="00632D06" w:rsidRDefault="00896877" w:rsidP="00896877">
      <w:pPr>
        <w:spacing w:after="0" w:line="360" w:lineRule="auto"/>
        <w:jc w:val="both"/>
        <w:rPr>
          <w:rFonts w:ascii="Arial" w:hAnsi="Arial" w:cs="Arial"/>
        </w:rPr>
      </w:pPr>
      <w:r>
        <w:rPr>
          <w:rFonts w:ascii="Arial" w:hAnsi="Arial" w:cs="Arial"/>
        </w:rPr>
        <w:tab/>
        <w:t>En primer</w:t>
      </w:r>
      <w:r w:rsidRPr="00632D06">
        <w:rPr>
          <w:rFonts w:ascii="Arial" w:hAnsi="Arial" w:cs="Arial"/>
        </w:rPr>
        <w:t xml:space="preserve"> lugar, la Directiva 2000/78 omite definir qué debe entenderse por discap</w:t>
      </w:r>
      <w:r w:rsidR="00B67B13">
        <w:rPr>
          <w:rFonts w:ascii="Arial" w:hAnsi="Arial" w:cs="Arial"/>
        </w:rPr>
        <w:t>acidad, así como tampoco detalla</w:t>
      </w:r>
      <w:r w:rsidRPr="00632D06">
        <w:rPr>
          <w:rFonts w:ascii="Arial" w:hAnsi="Arial" w:cs="Arial"/>
        </w:rPr>
        <w:t xml:space="preserve"> el significado de la expresión “por motivos de discapacidad”</w:t>
      </w:r>
      <w:r w:rsidRPr="00632D06">
        <w:rPr>
          <w:rFonts w:ascii="Arial" w:hAnsi="Arial" w:cs="Arial"/>
          <w:vertAlign w:val="superscript"/>
        </w:rPr>
        <w:footnoteReference w:id="35"/>
      </w:r>
      <w:r w:rsidRPr="00632D06">
        <w:rPr>
          <w:rFonts w:ascii="Arial" w:hAnsi="Arial" w:cs="Arial"/>
        </w:rPr>
        <w:t xml:space="preserve">. La norma europea deja un inexplicable vacío en </w:t>
      </w:r>
      <w:r w:rsidR="00B67B13">
        <w:rPr>
          <w:rFonts w:ascii="Arial" w:hAnsi="Arial" w:cs="Arial"/>
        </w:rPr>
        <w:t>dos</w:t>
      </w:r>
      <w:r w:rsidRPr="00632D06">
        <w:rPr>
          <w:rFonts w:ascii="Arial" w:hAnsi="Arial" w:cs="Arial"/>
        </w:rPr>
        <w:t xml:space="preserve"> concepto</w:t>
      </w:r>
      <w:r w:rsidR="00B67B13">
        <w:rPr>
          <w:rFonts w:ascii="Arial" w:hAnsi="Arial" w:cs="Arial"/>
        </w:rPr>
        <w:t>s</w:t>
      </w:r>
      <w:r w:rsidRPr="00632D06">
        <w:rPr>
          <w:rFonts w:ascii="Arial" w:hAnsi="Arial" w:cs="Arial"/>
        </w:rPr>
        <w:t xml:space="preserve"> clave de la Directiva. Por una parte, puede resultar lógico, ya no por tradición normativa</w:t>
      </w:r>
      <w:r w:rsidRPr="00632D06">
        <w:rPr>
          <w:rFonts w:ascii="Arial" w:hAnsi="Arial" w:cs="Arial"/>
          <w:vertAlign w:val="superscript"/>
        </w:rPr>
        <w:footnoteReference w:id="36"/>
      </w:r>
      <w:r w:rsidRPr="00632D06">
        <w:rPr>
          <w:rFonts w:ascii="Arial" w:hAnsi="Arial" w:cs="Arial"/>
        </w:rPr>
        <w:t>, o por la notable influencia del modelo de derechos civiles americano en la política europea de lucha contra la discriminación</w:t>
      </w:r>
      <w:r w:rsidRPr="00632D06">
        <w:rPr>
          <w:rFonts w:ascii="Arial" w:hAnsi="Arial" w:cs="Arial"/>
          <w:vertAlign w:val="superscript"/>
        </w:rPr>
        <w:footnoteReference w:id="37"/>
      </w:r>
      <w:r w:rsidRPr="00632D06">
        <w:rPr>
          <w:rFonts w:ascii="Arial" w:hAnsi="Arial" w:cs="Arial"/>
        </w:rPr>
        <w:t>, sino por su propia naturaleza, que pretende ofrecer una cierta libertad en la transposición</w:t>
      </w:r>
      <w:r w:rsidR="00B67B13">
        <w:rPr>
          <w:rFonts w:ascii="Arial" w:hAnsi="Arial" w:cs="Arial"/>
        </w:rPr>
        <w:t xml:space="preserve"> de la Directiva 2000/78</w:t>
      </w:r>
      <w:r w:rsidRPr="00632D06">
        <w:rPr>
          <w:rFonts w:ascii="Arial" w:hAnsi="Arial" w:cs="Arial"/>
        </w:rPr>
        <w:t xml:space="preserve"> a los ordenamientos jurídicos internos</w:t>
      </w:r>
      <w:r w:rsidRPr="00632D06">
        <w:rPr>
          <w:rFonts w:ascii="Arial" w:hAnsi="Arial" w:cs="Arial"/>
          <w:vertAlign w:val="superscript"/>
        </w:rPr>
        <w:footnoteReference w:id="38"/>
      </w:r>
      <w:r w:rsidRPr="00632D06">
        <w:rPr>
          <w:rFonts w:ascii="Arial" w:hAnsi="Arial" w:cs="Arial"/>
        </w:rPr>
        <w:t>. No obstante, si valoramos los esfuerzos efectuados por la Directiva 2000/78 en orden a lograr una implantación efectiva y armonizada del principio de igualdad de trato en el empleo, es evidente que esta omisión reduce la eficacia de las medidas de acción positiva previstas en la norma europea</w:t>
      </w:r>
      <w:r w:rsidRPr="00632D06">
        <w:rPr>
          <w:rFonts w:ascii="Arial" w:hAnsi="Arial" w:cs="Arial"/>
          <w:vertAlign w:val="superscript"/>
        </w:rPr>
        <w:footnoteReference w:id="39"/>
      </w:r>
      <w:r w:rsidRPr="00632D06">
        <w:rPr>
          <w:rFonts w:ascii="Arial" w:hAnsi="Arial" w:cs="Arial"/>
        </w:rPr>
        <w:t>. Así pues, la Directiva 2000/78 no contiene una definición europea de discapacidad</w:t>
      </w:r>
      <w:r w:rsidR="00B67B13">
        <w:rPr>
          <w:rFonts w:ascii="Arial" w:hAnsi="Arial" w:cs="Arial"/>
        </w:rPr>
        <w:t xml:space="preserve"> o por motivos de discapacidad</w:t>
      </w:r>
      <w:r w:rsidRPr="00632D06">
        <w:rPr>
          <w:rFonts w:ascii="Arial" w:hAnsi="Arial" w:cs="Arial"/>
        </w:rPr>
        <w:t xml:space="preserve"> en el ámbito del empleo, dejando así un espacio de incertidumbre e inseguridad jurídica sobre ciertas situaciones que reduce el impacto que esta norma podría tener sobre la lucha contra discriminación</w:t>
      </w:r>
      <w:r w:rsidRPr="00632D06">
        <w:rPr>
          <w:rFonts w:ascii="Arial" w:hAnsi="Arial" w:cs="Arial"/>
          <w:vertAlign w:val="superscript"/>
        </w:rPr>
        <w:footnoteReference w:id="40"/>
      </w:r>
      <w:r w:rsidRPr="00632D06">
        <w:rPr>
          <w:rFonts w:ascii="Arial" w:hAnsi="Arial" w:cs="Arial"/>
        </w:rPr>
        <w:t xml:space="preserve">. De hecho, la responsabilidad de definir la discapacidad en el ámbito del empleo ha sido trasladada </w:t>
      </w:r>
      <w:r w:rsidRPr="00632D06">
        <w:rPr>
          <w:rFonts w:ascii="Arial" w:hAnsi="Arial" w:cs="Arial"/>
          <w:i/>
        </w:rPr>
        <w:t>de facto</w:t>
      </w:r>
      <w:r w:rsidRPr="00632D06">
        <w:rPr>
          <w:rFonts w:ascii="Arial" w:hAnsi="Arial" w:cs="Arial"/>
        </w:rPr>
        <w:t xml:space="preserve"> al Tribunal de Justicia de la Unión Europea</w:t>
      </w:r>
      <w:r w:rsidRPr="00632D06">
        <w:rPr>
          <w:rFonts w:ascii="Arial" w:hAnsi="Arial" w:cs="Arial"/>
          <w:vertAlign w:val="superscript"/>
        </w:rPr>
        <w:footnoteReference w:id="41"/>
      </w:r>
      <w:r w:rsidRPr="00632D06">
        <w:rPr>
          <w:rFonts w:ascii="Arial" w:hAnsi="Arial" w:cs="Arial"/>
        </w:rPr>
        <w:t>, que a su vez ha remitido esta cuestión al derecho nacional</w:t>
      </w:r>
      <w:r w:rsidRPr="00632D06">
        <w:rPr>
          <w:rFonts w:ascii="Arial" w:hAnsi="Arial" w:cs="Arial"/>
          <w:vertAlign w:val="superscript"/>
        </w:rPr>
        <w:footnoteReference w:id="42"/>
      </w:r>
      <w:r w:rsidRPr="00632D06">
        <w:rPr>
          <w:rFonts w:ascii="Arial" w:hAnsi="Arial" w:cs="Arial"/>
        </w:rPr>
        <w:t>, optándose así por una armonización judicial no exenta de problemas</w:t>
      </w:r>
      <w:r w:rsidRPr="00632D06">
        <w:rPr>
          <w:rFonts w:ascii="Arial" w:hAnsi="Arial" w:cs="Arial"/>
          <w:vertAlign w:val="superscript"/>
        </w:rPr>
        <w:footnoteReference w:id="43"/>
      </w:r>
      <w:r w:rsidRPr="00632D06">
        <w:rPr>
          <w:rFonts w:ascii="Arial" w:hAnsi="Arial" w:cs="Arial"/>
        </w:rPr>
        <w:t xml:space="preserve">. </w:t>
      </w:r>
      <w:r w:rsidRPr="00632D06">
        <w:rPr>
          <w:rFonts w:ascii="Arial" w:hAnsi="Arial" w:cs="Arial"/>
        </w:rPr>
        <w:lastRenderedPageBreak/>
        <w:t xml:space="preserve">Las consecuencias que esta omisión ha generado han sido muy negativas, puesto que la premisa esencial para aplicar la protección de la Directiva 2000/78 no se halla definida, y en consecuencia, la norma europea no ha podido desplegar su potencial básicamente porque no constata quienes se hallan bajo su protección. </w:t>
      </w:r>
    </w:p>
    <w:p w:rsidR="00896877" w:rsidRPr="00632D06" w:rsidRDefault="00896877" w:rsidP="00896877">
      <w:pPr>
        <w:spacing w:after="0" w:line="360" w:lineRule="auto"/>
        <w:jc w:val="both"/>
        <w:rPr>
          <w:rFonts w:ascii="Arial" w:hAnsi="Arial" w:cs="Arial"/>
        </w:rPr>
      </w:pPr>
      <w:r w:rsidRPr="00632D06">
        <w:rPr>
          <w:rFonts w:ascii="Arial" w:hAnsi="Arial" w:cs="Arial"/>
        </w:rPr>
        <w:t>Sobre esta problemática, la Directiva 2000/78 debería definir el concepto discapacidad única y exclusivamente referido al ámbito de la directiva, esto es respecto a la tutela antidiscriminatoria en el empleo. La norma europea debería adoptar una estructura similar a la efectuada en el marco de otras directivas</w:t>
      </w:r>
      <w:r w:rsidRPr="00632D06">
        <w:rPr>
          <w:rFonts w:ascii="Arial" w:hAnsi="Arial" w:cs="Arial"/>
          <w:vertAlign w:val="superscript"/>
        </w:rPr>
        <w:footnoteReference w:id="44"/>
      </w:r>
      <w:r w:rsidRPr="00632D06">
        <w:rPr>
          <w:rFonts w:ascii="Arial" w:hAnsi="Arial" w:cs="Arial"/>
        </w:rPr>
        <w:t xml:space="preserve">, que conjugan a la perfección la pretensión armonizadora y el necesario margen de flexibilidad que requieren las distintas realidades de </w:t>
      </w:r>
      <w:r w:rsidR="00B67B13">
        <w:rPr>
          <w:rFonts w:ascii="Arial" w:hAnsi="Arial" w:cs="Arial"/>
        </w:rPr>
        <w:t>los Estados m</w:t>
      </w:r>
      <w:r w:rsidRPr="00632D06">
        <w:rPr>
          <w:rFonts w:ascii="Arial" w:hAnsi="Arial" w:cs="Arial"/>
        </w:rPr>
        <w:t>iembros. Y en este sentido, sería conveniente incluir las condiciones que deben cumplirse para considerar incluida a cualquier persona dentro del ámbito de su protección, ofreciendo como opciones alternativas la exigencia, unificada para todos los Estados Miembros, de un determinado porcentaje reconocido oficialmente</w:t>
      </w:r>
      <w:r w:rsidRPr="00632D06">
        <w:rPr>
          <w:rFonts w:ascii="Arial" w:hAnsi="Arial" w:cs="Arial"/>
          <w:vertAlign w:val="superscript"/>
        </w:rPr>
        <w:footnoteReference w:id="45"/>
      </w:r>
      <w:r w:rsidRPr="00632D06">
        <w:rPr>
          <w:rFonts w:ascii="Arial" w:hAnsi="Arial" w:cs="Arial"/>
        </w:rPr>
        <w:t xml:space="preserve"> o una definición del término “larga duración” a nivel europeo</w:t>
      </w:r>
      <w:r w:rsidRPr="00632D06">
        <w:rPr>
          <w:rFonts w:ascii="Arial" w:hAnsi="Arial" w:cs="Arial"/>
          <w:vertAlign w:val="superscript"/>
        </w:rPr>
        <w:footnoteReference w:id="46"/>
      </w:r>
      <w:r w:rsidRPr="00632D06">
        <w:rPr>
          <w:rFonts w:ascii="Arial" w:hAnsi="Arial" w:cs="Arial"/>
        </w:rPr>
        <w:t xml:space="preserve">. </w:t>
      </w:r>
    </w:p>
    <w:p w:rsidR="00632D06" w:rsidRPr="00632D06" w:rsidRDefault="00E213DD" w:rsidP="00632D06">
      <w:pPr>
        <w:spacing w:after="0" w:line="360" w:lineRule="auto"/>
        <w:jc w:val="both"/>
        <w:rPr>
          <w:rFonts w:ascii="Arial" w:hAnsi="Arial" w:cs="Arial"/>
        </w:rPr>
      </w:pPr>
      <w:r>
        <w:rPr>
          <w:rFonts w:ascii="Arial" w:hAnsi="Arial" w:cs="Arial"/>
        </w:rPr>
        <w:tab/>
      </w:r>
      <w:r w:rsidR="00896877">
        <w:rPr>
          <w:rFonts w:ascii="Arial" w:hAnsi="Arial" w:cs="Arial"/>
        </w:rPr>
        <w:t>En segundo</w:t>
      </w:r>
      <w:r w:rsidR="00632D06" w:rsidRPr="00632D06">
        <w:rPr>
          <w:rFonts w:ascii="Arial" w:hAnsi="Arial" w:cs="Arial"/>
        </w:rPr>
        <w:t xml:space="preserve"> lugar, llama poderosamente la atención que la mencionada Directiva no contemple explícitamente la ausencia de la realización de ajustes razonables como comportamiento discriminatorio. Si examinamos el artículo 2.2 Directiva 2000/78, encargado de definir el concepto de discriminación di</w:t>
      </w:r>
      <w:r>
        <w:rPr>
          <w:rFonts w:ascii="Arial" w:hAnsi="Arial" w:cs="Arial"/>
        </w:rPr>
        <w:t xml:space="preserve">recta o indirecta, se advierte </w:t>
      </w:r>
      <w:r w:rsidR="00632D06" w:rsidRPr="00632D06">
        <w:rPr>
          <w:rFonts w:ascii="Arial" w:hAnsi="Arial" w:cs="Arial"/>
        </w:rPr>
        <w:t xml:space="preserve">que la norma europea se refiere a la obligación de realizar ajustes razonables, pero en ningún caso establece que su omisión será considerada un comportamiento discriminatorio. En esta dirección, el considerando 16 de la Directiva 2000/78 reconoce el importantísimo papel de los ajustes razonables a la hora de combatir la discriminación por razón de discapacidad en el puesto de trabajo, pero la calificación de su incumplimiento es una cuestión sobre la que la Directiva 2000/78 no se pronuncia. Así pues, a pesar de los esfuerzos normativos por configurar una caracterización efectiva de la obligación de realizar ajustes, nos encontramos que la consecuencia lógica y más importante para su </w:t>
      </w:r>
      <w:r w:rsidR="00A54BB3">
        <w:rPr>
          <w:rFonts w:ascii="Arial" w:hAnsi="Arial" w:cs="Arial"/>
        </w:rPr>
        <w:t xml:space="preserve">correcta implementación </w:t>
      </w:r>
      <w:r w:rsidR="00632D06" w:rsidRPr="00632D06">
        <w:rPr>
          <w:rFonts w:ascii="Arial" w:hAnsi="Arial" w:cs="Arial"/>
        </w:rPr>
        <w:t xml:space="preserve">– la consideración </w:t>
      </w:r>
      <w:r w:rsidR="00632D06" w:rsidRPr="00632D06">
        <w:rPr>
          <w:rFonts w:ascii="Arial" w:hAnsi="Arial" w:cs="Arial"/>
        </w:rPr>
        <w:lastRenderedPageBreak/>
        <w:t>de su omisión como comportamiento discriminatorio- no tiene cabida en la norma europea, a diferencia de otros textos internacionales</w:t>
      </w:r>
      <w:r w:rsidR="00632D06" w:rsidRPr="00632D06">
        <w:rPr>
          <w:rFonts w:ascii="Arial" w:hAnsi="Arial" w:cs="Arial"/>
          <w:vertAlign w:val="superscript"/>
        </w:rPr>
        <w:footnoteReference w:id="47"/>
      </w:r>
      <w:r w:rsidR="00632D06" w:rsidRPr="00632D06">
        <w:rPr>
          <w:rFonts w:ascii="Arial" w:hAnsi="Arial" w:cs="Arial"/>
        </w:rPr>
        <w:t>. Ante este escenario, es cierto que algunas legislaciones nacionales han suplido esta inexplicable ausencia normativa</w:t>
      </w:r>
      <w:r w:rsidR="00632D06" w:rsidRPr="00632D06">
        <w:rPr>
          <w:rFonts w:ascii="Arial" w:hAnsi="Arial" w:cs="Arial"/>
          <w:vertAlign w:val="superscript"/>
        </w:rPr>
        <w:footnoteReference w:id="48"/>
      </w:r>
      <w:r w:rsidR="00632D06" w:rsidRPr="00632D06">
        <w:rPr>
          <w:rFonts w:ascii="Arial" w:hAnsi="Arial" w:cs="Arial"/>
        </w:rPr>
        <w:t>, pero la no constatación a nivel europeo de esta circunstancia resta eficacia a su cumplimiento</w:t>
      </w:r>
      <w:r w:rsidR="00632D06" w:rsidRPr="00632D06">
        <w:rPr>
          <w:rFonts w:ascii="Arial" w:hAnsi="Arial" w:cs="Arial"/>
          <w:vertAlign w:val="superscript"/>
        </w:rPr>
        <w:footnoteReference w:id="49"/>
      </w:r>
      <w:r w:rsidR="00632D06" w:rsidRPr="00632D06">
        <w:rPr>
          <w:rFonts w:ascii="Arial" w:hAnsi="Arial" w:cs="Arial"/>
        </w:rPr>
        <w:t xml:space="preserve">. </w:t>
      </w:r>
    </w:p>
    <w:p w:rsidR="00632D06" w:rsidRPr="00632D06" w:rsidRDefault="00632D06" w:rsidP="00632D06">
      <w:pPr>
        <w:spacing w:after="0" w:line="360" w:lineRule="auto"/>
        <w:jc w:val="both"/>
        <w:rPr>
          <w:rFonts w:ascii="Arial" w:hAnsi="Arial" w:cs="Arial"/>
        </w:rPr>
      </w:pPr>
      <w:r>
        <w:rPr>
          <w:rFonts w:ascii="Arial" w:hAnsi="Arial" w:cs="Arial"/>
        </w:rPr>
        <w:tab/>
      </w:r>
      <w:r w:rsidRPr="00632D06">
        <w:rPr>
          <w:rFonts w:ascii="Arial" w:hAnsi="Arial" w:cs="Arial"/>
        </w:rPr>
        <w:t>Por último, si bien los ajustes razonables aparecen como un paso muy importante para lograr la igualdad de oportunidades efectiva, la realidad es que su conceptualización europea dista mucho de hallarse plenamente desarrollada. La obligación de adaptar el puesto de trabajo es, sin lugar a dudas, la respuesta con mayor éxito a la pregunta sobre cómo lograr la igualdad en sociedades con una extrema diversidad, pero la configuración que ofrece el artículo 5 Directiva 2000/78 consolida una distinción entre la normalidad y la diferencia que no contribuye a eliminar la estigmatización que han sufrido las personas con discapacidad. Desde un punto de vista conceptual, algunos autores han defendido la falta de capacidad de los ajustes razonables para luchar efectivamente contra la desigualdad</w:t>
      </w:r>
      <w:r w:rsidRPr="00632D06">
        <w:rPr>
          <w:rFonts w:ascii="Arial" w:hAnsi="Arial" w:cs="Arial"/>
          <w:vertAlign w:val="superscript"/>
        </w:rPr>
        <w:footnoteReference w:id="50"/>
      </w:r>
      <w:r w:rsidRPr="00632D06">
        <w:rPr>
          <w:rFonts w:ascii="Arial" w:hAnsi="Arial" w:cs="Arial"/>
        </w:rPr>
        <w:t>, y en este sentido, este planteamiento condiciona su efectividad como instrumento de cambio a la interpretación que re</w:t>
      </w:r>
      <w:r w:rsidR="00A54BB3">
        <w:rPr>
          <w:rFonts w:ascii="Arial" w:hAnsi="Arial" w:cs="Arial"/>
        </w:rPr>
        <w:t>alice cada Estado m</w:t>
      </w:r>
      <w:r w:rsidRPr="00632D06">
        <w:rPr>
          <w:rFonts w:ascii="Arial" w:hAnsi="Arial" w:cs="Arial"/>
        </w:rPr>
        <w:t>iembro y el Tribunal</w:t>
      </w:r>
      <w:r w:rsidR="00A54BB3">
        <w:rPr>
          <w:rFonts w:ascii="Arial" w:hAnsi="Arial" w:cs="Arial"/>
        </w:rPr>
        <w:t xml:space="preserve"> de Justicia</w:t>
      </w:r>
      <w:r w:rsidRPr="00632D06">
        <w:rPr>
          <w:rFonts w:ascii="Arial" w:hAnsi="Arial" w:cs="Arial"/>
        </w:rPr>
        <w:t xml:space="preserve"> Europeo</w:t>
      </w:r>
      <w:r w:rsidRPr="00632D06">
        <w:rPr>
          <w:rFonts w:ascii="Arial" w:hAnsi="Arial" w:cs="Arial"/>
          <w:vertAlign w:val="superscript"/>
        </w:rPr>
        <w:footnoteReference w:id="51"/>
      </w:r>
      <w:r w:rsidRPr="00632D06">
        <w:rPr>
          <w:rFonts w:ascii="Arial" w:hAnsi="Arial" w:cs="Arial"/>
        </w:rPr>
        <w:t xml:space="preserve">. </w:t>
      </w:r>
    </w:p>
    <w:p w:rsidR="00632D06" w:rsidRDefault="00896877" w:rsidP="00632D06">
      <w:pPr>
        <w:spacing w:after="0" w:line="360" w:lineRule="auto"/>
        <w:jc w:val="both"/>
        <w:rPr>
          <w:rFonts w:ascii="Arial" w:hAnsi="Arial" w:cs="Arial"/>
        </w:rPr>
      </w:pPr>
      <w:r>
        <w:rPr>
          <w:rFonts w:ascii="Arial" w:hAnsi="Arial" w:cs="Arial"/>
        </w:rPr>
        <w:tab/>
      </w:r>
      <w:r w:rsidR="00632D06" w:rsidRPr="00632D06">
        <w:rPr>
          <w:rFonts w:ascii="Arial" w:hAnsi="Arial" w:cs="Arial"/>
        </w:rPr>
        <w:t>Sin embargo, la circunstancia que cont</w:t>
      </w:r>
      <w:r w:rsidR="00A54BB3">
        <w:rPr>
          <w:rFonts w:ascii="Arial" w:hAnsi="Arial" w:cs="Arial"/>
        </w:rPr>
        <w:t>ribuye especialmente a agravar</w:t>
      </w:r>
      <w:r w:rsidR="00632D06" w:rsidRPr="00632D06">
        <w:rPr>
          <w:rFonts w:ascii="Arial" w:hAnsi="Arial" w:cs="Arial"/>
        </w:rPr>
        <w:t xml:space="preserve"> esta problemática es el diseño de la obligación como una modificación, esto es </w:t>
      </w:r>
      <w:r w:rsidR="00632D06" w:rsidRPr="00632D06">
        <w:rPr>
          <w:rFonts w:ascii="Arial" w:hAnsi="Arial" w:cs="Arial"/>
          <w:i/>
        </w:rPr>
        <w:t>ex post</w:t>
      </w:r>
      <w:r w:rsidR="00632D06" w:rsidRPr="00632D06">
        <w:rPr>
          <w:rFonts w:ascii="Arial" w:hAnsi="Arial" w:cs="Arial"/>
        </w:rPr>
        <w:t xml:space="preserve">, con un marcado carácter de concesión empresarial en función de las circunstancias individuales. El artículo 5 de la citada norma no opta por exigir la creación de puestos de trabajo universales, sino por la transformación de los ya existentes. Y es precisamente en la adaptación donde se produce la perpetuación de la estigmatización, pues se distingue a </w:t>
      </w:r>
      <w:r w:rsidR="00632D06" w:rsidRPr="00632D06">
        <w:rPr>
          <w:rFonts w:ascii="Arial" w:hAnsi="Arial" w:cs="Arial"/>
        </w:rPr>
        <w:lastRenderedPageBreak/>
        <w:t>aquellos trabajadores que prestan servicios en un puesto de trabajo adaptado</w:t>
      </w:r>
      <w:r w:rsidR="00632D06" w:rsidRPr="00632D06">
        <w:rPr>
          <w:rFonts w:ascii="Arial" w:hAnsi="Arial" w:cs="Arial"/>
          <w:vertAlign w:val="superscript"/>
        </w:rPr>
        <w:footnoteReference w:id="52"/>
      </w:r>
      <w:r w:rsidR="00632D06" w:rsidRPr="00632D06">
        <w:rPr>
          <w:rFonts w:ascii="Arial" w:hAnsi="Arial" w:cs="Arial"/>
        </w:rPr>
        <w:t>, y en consecuencia, se mantiene la calificación de aquellos como personas con discapacidad. A modo de cierre, esta cuestión exigiría modificar diversos aspectos de la conceptualización de la obligación de realizar ajustes razonables</w:t>
      </w:r>
      <w:r w:rsidR="00632D06" w:rsidRPr="00632D06">
        <w:rPr>
          <w:rFonts w:ascii="Arial" w:hAnsi="Arial" w:cs="Arial"/>
          <w:vertAlign w:val="superscript"/>
        </w:rPr>
        <w:footnoteReference w:id="53"/>
      </w:r>
      <w:r w:rsidR="00632D06" w:rsidRPr="00632D06">
        <w:rPr>
          <w:rFonts w:ascii="Arial" w:hAnsi="Arial" w:cs="Arial"/>
        </w:rPr>
        <w:t>, a fin de lograr una verdadera inclusión sin distinciones por razón de discapacidad.</w:t>
      </w:r>
    </w:p>
    <w:p w:rsidR="004443CF" w:rsidRDefault="004443CF" w:rsidP="00B87994">
      <w:pPr>
        <w:spacing w:after="0" w:line="360" w:lineRule="auto"/>
        <w:jc w:val="both"/>
        <w:rPr>
          <w:rFonts w:ascii="Arial" w:hAnsi="Arial" w:cs="Arial"/>
        </w:rPr>
      </w:pPr>
    </w:p>
    <w:p w:rsidR="004443CF" w:rsidRPr="00C66637" w:rsidRDefault="00922AB4" w:rsidP="00B87994">
      <w:pPr>
        <w:spacing w:after="0" w:line="360" w:lineRule="auto"/>
        <w:jc w:val="both"/>
        <w:rPr>
          <w:rFonts w:ascii="Arial" w:hAnsi="Arial" w:cs="Arial"/>
          <w:u w:val="single"/>
        </w:rPr>
      </w:pPr>
      <w:r>
        <w:rPr>
          <w:rFonts w:ascii="Arial" w:hAnsi="Arial" w:cs="Arial"/>
          <w:u w:val="single"/>
        </w:rPr>
        <w:t>2.2.- El</w:t>
      </w:r>
      <w:r w:rsidR="004443CF" w:rsidRPr="00C66637">
        <w:rPr>
          <w:rFonts w:ascii="Arial" w:hAnsi="Arial" w:cs="Arial"/>
          <w:u w:val="single"/>
        </w:rPr>
        <w:t xml:space="preserve"> princi</w:t>
      </w:r>
      <w:r w:rsidR="00C66637" w:rsidRPr="00C66637">
        <w:rPr>
          <w:rFonts w:ascii="Arial" w:hAnsi="Arial" w:cs="Arial"/>
          <w:u w:val="single"/>
        </w:rPr>
        <w:t>pal pronunciamiento</w:t>
      </w:r>
      <w:r w:rsidR="00322022">
        <w:rPr>
          <w:rFonts w:ascii="Arial" w:hAnsi="Arial" w:cs="Arial"/>
          <w:u w:val="single"/>
        </w:rPr>
        <w:t xml:space="preserve"> </w:t>
      </w:r>
      <w:r w:rsidR="00F24327" w:rsidRPr="00C66637">
        <w:rPr>
          <w:rFonts w:ascii="Arial" w:hAnsi="Arial" w:cs="Arial"/>
          <w:u w:val="single"/>
        </w:rPr>
        <w:t>del T</w:t>
      </w:r>
      <w:r w:rsidR="00C66637" w:rsidRPr="00C66637">
        <w:rPr>
          <w:rFonts w:ascii="Arial" w:hAnsi="Arial" w:cs="Arial"/>
          <w:u w:val="single"/>
        </w:rPr>
        <w:t xml:space="preserve">ribunal de </w:t>
      </w:r>
      <w:r w:rsidR="00F24327" w:rsidRPr="00C66637">
        <w:rPr>
          <w:rFonts w:ascii="Arial" w:hAnsi="Arial" w:cs="Arial"/>
          <w:u w:val="single"/>
        </w:rPr>
        <w:t>J</w:t>
      </w:r>
      <w:r w:rsidR="00C66637" w:rsidRPr="00C66637">
        <w:rPr>
          <w:rFonts w:ascii="Arial" w:hAnsi="Arial" w:cs="Arial"/>
          <w:u w:val="single"/>
        </w:rPr>
        <w:t xml:space="preserve">usticia de la </w:t>
      </w:r>
      <w:r w:rsidR="00F24327" w:rsidRPr="00C66637">
        <w:rPr>
          <w:rFonts w:ascii="Arial" w:hAnsi="Arial" w:cs="Arial"/>
          <w:u w:val="single"/>
        </w:rPr>
        <w:t>U</w:t>
      </w:r>
      <w:r w:rsidR="00C66637" w:rsidRPr="00C66637">
        <w:rPr>
          <w:rFonts w:ascii="Arial" w:hAnsi="Arial" w:cs="Arial"/>
          <w:u w:val="single"/>
        </w:rPr>
        <w:t xml:space="preserve">nión </w:t>
      </w:r>
      <w:r w:rsidR="00F24327" w:rsidRPr="00C66637">
        <w:rPr>
          <w:rFonts w:ascii="Arial" w:hAnsi="Arial" w:cs="Arial"/>
          <w:u w:val="single"/>
        </w:rPr>
        <w:t>E</w:t>
      </w:r>
      <w:r w:rsidR="00C66637" w:rsidRPr="00C66637">
        <w:rPr>
          <w:rFonts w:ascii="Arial" w:hAnsi="Arial" w:cs="Arial"/>
          <w:u w:val="single"/>
        </w:rPr>
        <w:t>uropea</w:t>
      </w:r>
      <w:r w:rsidR="00322022">
        <w:rPr>
          <w:rFonts w:ascii="Arial" w:hAnsi="Arial" w:cs="Arial"/>
          <w:u w:val="single"/>
        </w:rPr>
        <w:t xml:space="preserve"> </w:t>
      </w:r>
      <w:r w:rsidR="00A543F3">
        <w:rPr>
          <w:rFonts w:ascii="Arial" w:hAnsi="Arial" w:cs="Arial"/>
          <w:u w:val="single"/>
        </w:rPr>
        <w:t>en materia de ajustes razonables</w:t>
      </w:r>
      <w:r w:rsidR="00A16672">
        <w:rPr>
          <w:rFonts w:ascii="Arial" w:hAnsi="Arial" w:cs="Arial"/>
          <w:u w:val="single"/>
        </w:rPr>
        <w:t xml:space="preserve">: La </w:t>
      </w:r>
      <w:r w:rsidR="00A16672" w:rsidRPr="00A16672">
        <w:rPr>
          <w:rFonts w:ascii="Arial" w:hAnsi="Arial" w:cs="Arial"/>
          <w:u w:val="single"/>
        </w:rPr>
        <w:t xml:space="preserve">Sentencia HK </w:t>
      </w:r>
      <w:proofErr w:type="spellStart"/>
      <w:r w:rsidR="00A16672" w:rsidRPr="00A16672">
        <w:rPr>
          <w:rFonts w:ascii="Arial" w:hAnsi="Arial" w:cs="Arial"/>
          <w:u w:val="single"/>
        </w:rPr>
        <w:t>Danmark</w:t>
      </w:r>
      <w:proofErr w:type="spellEnd"/>
      <w:r w:rsidR="00A16672" w:rsidRPr="00A16672">
        <w:rPr>
          <w:rFonts w:ascii="Arial" w:hAnsi="Arial" w:cs="Arial"/>
          <w:u w:val="single"/>
        </w:rPr>
        <w:t>, C-335/11</w:t>
      </w:r>
    </w:p>
    <w:p w:rsidR="00B87994" w:rsidRDefault="00B16DC8" w:rsidP="00A16672">
      <w:pPr>
        <w:spacing w:after="0" w:line="360" w:lineRule="auto"/>
        <w:jc w:val="both"/>
        <w:rPr>
          <w:rFonts w:ascii="Arial" w:hAnsi="Arial" w:cs="Arial"/>
        </w:rPr>
      </w:pPr>
      <w:r>
        <w:rPr>
          <w:rFonts w:ascii="Arial" w:hAnsi="Arial" w:cs="Arial"/>
        </w:rPr>
        <w:tab/>
      </w:r>
      <w:r w:rsidR="00A54BB3">
        <w:rPr>
          <w:rFonts w:ascii="Arial" w:hAnsi="Arial" w:cs="Arial"/>
        </w:rPr>
        <w:t>E</w:t>
      </w:r>
      <w:r>
        <w:rPr>
          <w:rFonts w:ascii="Arial" w:hAnsi="Arial" w:cs="Arial"/>
        </w:rPr>
        <w:t>l número de pronunciamientos judiciales</w:t>
      </w:r>
      <w:r w:rsidR="00A54BB3">
        <w:rPr>
          <w:rFonts w:ascii="Arial" w:hAnsi="Arial" w:cs="Arial"/>
        </w:rPr>
        <w:t xml:space="preserve"> del Tribunal de Justicia de la Unión Europea que han abordado los ajustes razonables</w:t>
      </w:r>
      <w:r>
        <w:rPr>
          <w:rFonts w:ascii="Arial" w:hAnsi="Arial" w:cs="Arial"/>
        </w:rPr>
        <w:t xml:space="preserve"> no ha sido especialmente elevado. Las razones de este hecho se atribuyen a la reciente incorporación de la discapacidad como causa de no discriminación en la Directiva 2000/78. No obstante, es necesario destacar que en los últimos años se </w:t>
      </w:r>
      <w:r w:rsidR="00182A87">
        <w:rPr>
          <w:rFonts w:ascii="Arial" w:hAnsi="Arial" w:cs="Arial"/>
        </w:rPr>
        <w:t xml:space="preserve">observa una creciente tendencia en abordar el concepto de discapacidad, </w:t>
      </w:r>
      <w:r w:rsidR="009A76F6">
        <w:rPr>
          <w:rFonts w:ascii="Arial" w:hAnsi="Arial" w:cs="Arial"/>
        </w:rPr>
        <w:t>y en menor medida</w:t>
      </w:r>
      <w:r w:rsidR="00182A87">
        <w:rPr>
          <w:rFonts w:ascii="Arial" w:hAnsi="Arial" w:cs="Arial"/>
        </w:rPr>
        <w:t xml:space="preserve">, la caracterización de la obligación de realizar ajustes razonables. </w:t>
      </w:r>
      <w:r w:rsidR="00D604D2">
        <w:rPr>
          <w:rFonts w:ascii="Arial" w:hAnsi="Arial" w:cs="Arial"/>
        </w:rPr>
        <w:t>Conviene dejar apuntado que, por razones de espacio, no se abordará el análisis de todas las sentencias existentes sobre la materia</w:t>
      </w:r>
      <w:r w:rsidR="00D604D2">
        <w:rPr>
          <w:rStyle w:val="Refdenotaalpie"/>
          <w:rFonts w:ascii="Arial" w:hAnsi="Arial" w:cs="Arial"/>
        </w:rPr>
        <w:footnoteReference w:id="54"/>
      </w:r>
      <w:r w:rsidR="00D604D2">
        <w:rPr>
          <w:rFonts w:ascii="Arial" w:hAnsi="Arial" w:cs="Arial"/>
        </w:rPr>
        <w:t>,</w:t>
      </w:r>
      <w:r w:rsidR="008F4D38">
        <w:rPr>
          <w:rFonts w:ascii="Arial" w:hAnsi="Arial" w:cs="Arial"/>
        </w:rPr>
        <w:t xml:space="preserve"> sino única y exclusivamente aquellas que abordan aspectos relativos a la obligación de realizar ajustes razonable</w:t>
      </w:r>
      <w:r w:rsidR="00A543F3">
        <w:rPr>
          <w:rFonts w:ascii="Arial" w:hAnsi="Arial" w:cs="Arial"/>
        </w:rPr>
        <w:t xml:space="preserve">s. </w:t>
      </w:r>
      <w:r w:rsidR="00A54BB3">
        <w:rPr>
          <w:rFonts w:ascii="Arial" w:hAnsi="Arial" w:cs="Arial"/>
        </w:rPr>
        <w:t>Esto significa que se analizará</w:t>
      </w:r>
      <w:r w:rsidR="004971B8">
        <w:rPr>
          <w:rFonts w:ascii="Arial" w:hAnsi="Arial" w:cs="Arial"/>
        </w:rPr>
        <w:t xml:space="preserve"> </w:t>
      </w:r>
      <w:r w:rsidR="00A543F3">
        <w:rPr>
          <w:rFonts w:ascii="Arial" w:hAnsi="Arial" w:cs="Arial"/>
        </w:rPr>
        <w:t xml:space="preserve">la </w:t>
      </w:r>
      <w:r w:rsidR="00300675">
        <w:rPr>
          <w:rFonts w:ascii="Arial" w:hAnsi="Arial" w:cs="Arial"/>
        </w:rPr>
        <w:t>única</w:t>
      </w:r>
      <w:r w:rsidR="00A543F3">
        <w:rPr>
          <w:rFonts w:ascii="Arial" w:hAnsi="Arial" w:cs="Arial"/>
        </w:rPr>
        <w:t xml:space="preserve"> sentencia que ha abordado la caracterización de la obligación</w:t>
      </w:r>
      <w:r w:rsidR="00A54BB3">
        <w:rPr>
          <w:rFonts w:ascii="Arial" w:hAnsi="Arial" w:cs="Arial"/>
        </w:rPr>
        <w:t>:</w:t>
      </w:r>
      <w:r w:rsidR="00A543F3">
        <w:rPr>
          <w:rFonts w:ascii="Arial" w:hAnsi="Arial" w:cs="Arial"/>
        </w:rPr>
        <w:t xml:space="preserve"> la Sentencia </w:t>
      </w:r>
      <w:r w:rsidR="00A543F3" w:rsidRPr="00A543F3">
        <w:rPr>
          <w:rFonts w:ascii="Arial" w:hAnsi="Arial" w:cs="Arial"/>
        </w:rPr>
        <w:t xml:space="preserve">HK </w:t>
      </w:r>
      <w:proofErr w:type="spellStart"/>
      <w:r w:rsidR="00A543F3" w:rsidRPr="00A543F3">
        <w:rPr>
          <w:rFonts w:ascii="Arial" w:hAnsi="Arial" w:cs="Arial"/>
        </w:rPr>
        <w:t>Danmark</w:t>
      </w:r>
      <w:proofErr w:type="spellEnd"/>
      <w:r w:rsidR="00A543F3" w:rsidRPr="00A543F3">
        <w:rPr>
          <w:rFonts w:ascii="Arial" w:hAnsi="Arial" w:cs="Arial"/>
        </w:rPr>
        <w:t>, C-335/11, EU</w:t>
      </w:r>
      <w:proofErr w:type="gramStart"/>
      <w:r w:rsidR="00A543F3" w:rsidRPr="00A543F3">
        <w:rPr>
          <w:rFonts w:ascii="Arial" w:hAnsi="Arial" w:cs="Arial"/>
        </w:rPr>
        <w:t>:C:2013:222</w:t>
      </w:r>
      <w:proofErr w:type="gramEnd"/>
      <w:r w:rsidR="00A54BB3">
        <w:rPr>
          <w:rFonts w:ascii="Arial" w:hAnsi="Arial" w:cs="Arial"/>
        </w:rPr>
        <w:t>.</w:t>
      </w:r>
    </w:p>
    <w:p w:rsidR="00A16672" w:rsidRDefault="009A76F6" w:rsidP="00A16672">
      <w:pPr>
        <w:autoSpaceDE w:val="0"/>
        <w:autoSpaceDN w:val="0"/>
        <w:adjustRightInd w:val="0"/>
        <w:spacing w:after="0" w:line="360" w:lineRule="auto"/>
        <w:jc w:val="both"/>
        <w:rPr>
          <w:rFonts w:ascii="Arial" w:hAnsi="Arial" w:cs="Arial"/>
        </w:rPr>
      </w:pPr>
      <w:r>
        <w:rPr>
          <w:rFonts w:ascii="Arial" w:hAnsi="Arial" w:cs="Arial"/>
        </w:rPr>
        <w:tab/>
      </w:r>
      <w:r w:rsidR="00A16672">
        <w:rPr>
          <w:rFonts w:ascii="Arial" w:hAnsi="Arial" w:cs="Arial"/>
        </w:rPr>
        <w:t xml:space="preserve">La Sentencia HK </w:t>
      </w:r>
      <w:proofErr w:type="spellStart"/>
      <w:r w:rsidR="00A16672">
        <w:rPr>
          <w:rFonts w:ascii="Arial" w:hAnsi="Arial" w:cs="Arial"/>
        </w:rPr>
        <w:t>Danmark</w:t>
      </w:r>
      <w:proofErr w:type="spellEnd"/>
      <w:r w:rsidR="00A16672">
        <w:rPr>
          <w:rFonts w:ascii="Arial" w:hAnsi="Arial" w:cs="Arial"/>
        </w:rPr>
        <w:t xml:space="preserve">, C-335/11, </w:t>
      </w:r>
      <w:r w:rsidR="00A16672" w:rsidRPr="00AD7D93">
        <w:rPr>
          <w:rFonts w:ascii="Arial" w:hAnsi="Arial" w:cs="Arial"/>
        </w:rPr>
        <w:t>EU</w:t>
      </w:r>
      <w:proofErr w:type="gramStart"/>
      <w:r w:rsidR="00A16672" w:rsidRPr="00AD7D93">
        <w:rPr>
          <w:rFonts w:ascii="Arial" w:hAnsi="Arial" w:cs="Arial"/>
        </w:rPr>
        <w:t>:C:2013:222</w:t>
      </w:r>
      <w:proofErr w:type="gramEnd"/>
      <w:r w:rsidR="00A16672">
        <w:rPr>
          <w:rFonts w:ascii="Arial" w:hAnsi="Arial" w:cs="Arial"/>
        </w:rPr>
        <w:t xml:space="preserve"> desempeña un papel ese</w:t>
      </w:r>
      <w:r w:rsidR="00F92B85">
        <w:rPr>
          <w:rFonts w:ascii="Arial" w:hAnsi="Arial" w:cs="Arial"/>
        </w:rPr>
        <w:t>n</w:t>
      </w:r>
      <w:r w:rsidR="00A16672">
        <w:rPr>
          <w:rFonts w:ascii="Arial" w:hAnsi="Arial" w:cs="Arial"/>
        </w:rPr>
        <w:t>cial en la caracterización de la obligación de realizar ajustes razonables, no sólo porque se trata de la primera sentencia dictada tras la ratificación de la Convención por parte de la Unión Europea</w:t>
      </w:r>
      <w:r w:rsidR="00A16672">
        <w:rPr>
          <w:rStyle w:val="Refdenotaalpie"/>
          <w:rFonts w:ascii="Arial" w:hAnsi="Arial" w:cs="Arial"/>
        </w:rPr>
        <w:footnoteReference w:id="55"/>
      </w:r>
      <w:r w:rsidR="00A16672">
        <w:rPr>
          <w:rFonts w:ascii="Arial" w:hAnsi="Arial" w:cs="Arial"/>
        </w:rPr>
        <w:t>, sino porque es el único pronunciamiento judicial hasta la fecha sobre esta materia. El Tribunal se encarga de examinar conjuntamente el supuesto de dos trabajadoras de diferentes empresas, que fueron despedidas como consecuencia de múltiples ausencias a su puesto de trabajo por razones</w:t>
      </w:r>
      <w:r w:rsidR="00300675">
        <w:rPr>
          <w:rFonts w:ascii="Arial" w:hAnsi="Arial" w:cs="Arial"/>
        </w:rPr>
        <w:t xml:space="preserve"> de salud. Ambas trabajadora</w:t>
      </w:r>
      <w:r w:rsidR="00A16672">
        <w:rPr>
          <w:rFonts w:ascii="Arial" w:hAnsi="Arial" w:cs="Arial"/>
        </w:rPr>
        <w:t xml:space="preserve">s sostienen en el marco del </w:t>
      </w:r>
      <w:r w:rsidR="00A16672">
        <w:rPr>
          <w:rFonts w:ascii="Arial" w:hAnsi="Arial" w:cs="Arial"/>
        </w:rPr>
        <w:lastRenderedPageBreak/>
        <w:t>proced</w:t>
      </w:r>
      <w:r w:rsidR="00184399">
        <w:rPr>
          <w:rFonts w:ascii="Arial" w:hAnsi="Arial" w:cs="Arial"/>
        </w:rPr>
        <w:t>imiento judicial nacional que su</w:t>
      </w:r>
      <w:r w:rsidR="00A16672">
        <w:rPr>
          <w:rFonts w:ascii="Arial" w:hAnsi="Arial" w:cs="Arial"/>
        </w:rPr>
        <w:t xml:space="preserve"> despido es discriminatorio, pues su estado de salud les impide llevar a cabo sus tareas, y en consecuencia, se las debe considerar personas con discapacidad. Y de hecho, las trabajadoras añaden que la empresa debió ofrecerles una reducción horaria en virtud de la obligación de real</w:t>
      </w:r>
      <w:r w:rsidR="00F92B85">
        <w:rPr>
          <w:rFonts w:ascii="Arial" w:hAnsi="Arial" w:cs="Arial"/>
        </w:rPr>
        <w:t xml:space="preserve">izar ajustes razonables, prevista </w:t>
      </w:r>
      <w:r w:rsidR="00A16672">
        <w:rPr>
          <w:rFonts w:ascii="Arial" w:hAnsi="Arial" w:cs="Arial"/>
        </w:rPr>
        <w:t xml:space="preserve"> en el artículo 5 de la Directiva 2000/78. Los empresarios de ambas trabajadoras sostienen que la situación médi</w:t>
      </w:r>
      <w:r w:rsidR="00300675">
        <w:rPr>
          <w:rFonts w:ascii="Arial" w:hAnsi="Arial" w:cs="Arial"/>
        </w:rPr>
        <w:t>ca de las trabajadoras no permite</w:t>
      </w:r>
      <w:r w:rsidR="00A16672">
        <w:rPr>
          <w:rFonts w:ascii="Arial" w:hAnsi="Arial" w:cs="Arial"/>
        </w:rPr>
        <w:t xml:space="preserve"> su consideración como personas con discapacidad, ya que su estado de salud únicamente les impide prestar servicios a tiempo completo. Además, consideran que la reducción de tiempo de trabajo no es una de las medidas referidas en el artículo 5 de la Directiva 2000/78, y por lo tanto</w:t>
      </w:r>
      <w:r w:rsidR="00300675">
        <w:rPr>
          <w:rFonts w:ascii="Arial" w:hAnsi="Arial" w:cs="Arial"/>
        </w:rPr>
        <w:t>, no procede adaptarlas condiciones</w:t>
      </w:r>
      <w:r w:rsidR="00A16672">
        <w:rPr>
          <w:rFonts w:ascii="Arial" w:hAnsi="Arial" w:cs="Arial"/>
        </w:rPr>
        <w:t xml:space="preserve"> de trabajo. </w:t>
      </w:r>
    </w:p>
    <w:p w:rsidR="00A16672" w:rsidRDefault="00A16672" w:rsidP="00A16672">
      <w:pPr>
        <w:autoSpaceDE w:val="0"/>
        <w:autoSpaceDN w:val="0"/>
        <w:adjustRightInd w:val="0"/>
        <w:spacing w:after="0" w:line="360" w:lineRule="auto"/>
        <w:jc w:val="both"/>
        <w:rPr>
          <w:rFonts w:ascii="Arial" w:hAnsi="Arial" w:cs="Arial"/>
        </w:rPr>
      </w:pPr>
      <w:r>
        <w:rPr>
          <w:rFonts w:ascii="Arial" w:hAnsi="Arial" w:cs="Arial"/>
        </w:rPr>
        <w:tab/>
        <w:t xml:space="preserve">Como puede observarse, el núcleo esencial de las cuatro cuestiones prejudiciales planteadas al Tribunal de Justicia de la Unión Europea está relacionado con el concepto de persona con discapacidad y la conceptualización de la obligación de realizar ajustes razonables, en el sentido de determinar si se incluye la </w:t>
      </w:r>
      <w:r w:rsidRPr="000778B3">
        <w:rPr>
          <w:rFonts w:ascii="Arial" w:hAnsi="Arial" w:cs="Arial"/>
        </w:rPr>
        <w:t>reducción de la jornada laboral</w:t>
      </w:r>
      <w:r>
        <w:rPr>
          <w:rFonts w:ascii="Arial" w:hAnsi="Arial" w:cs="Arial"/>
        </w:rPr>
        <w:t xml:space="preserve"> entre </w:t>
      </w:r>
      <w:r w:rsidRPr="000778B3">
        <w:rPr>
          <w:rFonts w:ascii="Arial" w:hAnsi="Arial" w:cs="Arial"/>
        </w:rPr>
        <w:t>las medidas a las que se refiere el artí</w:t>
      </w:r>
      <w:r>
        <w:rPr>
          <w:rFonts w:ascii="Arial" w:hAnsi="Arial" w:cs="Arial"/>
        </w:rPr>
        <w:t>culo 5 de la Directiva 2000/78.</w:t>
      </w:r>
    </w:p>
    <w:p w:rsidR="00060A95" w:rsidRDefault="00184399" w:rsidP="00A16672">
      <w:pPr>
        <w:autoSpaceDE w:val="0"/>
        <w:autoSpaceDN w:val="0"/>
        <w:adjustRightInd w:val="0"/>
        <w:spacing w:after="0" w:line="360" w:lineRule="auto"/>
        <w:jc w:val="both"/>
        <w:rPr>
          <w:rFonts w:ascii="Arial" w:hAnsi="Arial" w:cs="Arial"/>
        </w:rPr>
      </w:pPr>
      <w:r>
        <w:rPr>
          <w:rFonts w:ascii="Arial" w:hAnsi="Arial" w:cs="Arial"/>
        </w:rPr>
        <w:tab/>
      </w:r>
      <w:r w:rsidR="00A16672">
        <w:rPr>
          <w:rFonts w:ascii="Arial" w:hAnsi="Arial" w:cs="Arial"/>
        </w:rPr>
        <w:t>Este pronunciamiento es, con diferencia, la sentencia más significativa en materia de discapacidad, ya que establece un cambio de paradigma en la doctrina del Tribunal de Justicia de la Unión Europea</w:t>
      </w:r>
      <w:r w:rsidR="00A16672">
        <w:rPr>
          <w:rStyle w:val="Refdenotaalpie"/>
          <w:rFonts w:ascii="Arial" w:hAnsi="Arial" w:cs="Arial"/>
        </w:rPr>
        <w:footnoteReference w:id="56"/>
      </w:r>
      <w:r w:rsidR="00A16672">
        <w:rPr>
          <w:rFonts w:ascii="Arial" w:hAnsi="Arial" w:cs="Arial"/>
        </w:rPr>
        <w:t>,</w:t>
      </w:r>
      <w:r>
        <w:rPr>
          <w:rFonts w:ascii="Arial" w:hAnsi="Arial" w:cs="Arial"/>
        </w:rPr>
        <w:t xml:space="preserve"> dado que asume plenamente el paradigma social de tratamiento de la discapacidad</w:t>
      </w:r>
      <w:r w:rsidR="003C1F59">
        <w:rPr>
          <w:rStyle w:val="Refdenotaalpie"/>
          <w:rFonts w:ascii="Arial" w:hAnsi="Arial" w:cs="Arial"/>
        </w:rPr>
        <w:footnoteReference w:id="57"/>
      </w:r>
      <w:r w:rsidR="005E5A5D">
        <w:rPr>
          <w:rFonts w:ascii="Arial" w:hAnsi="Arial" w:cs="Arial"/>
        </w:rPr>
        <w:t xml:space="preserve">. </w:t>
      </w:r>
      <w:r w:rsidR="00A16672">
        <w:rPr>
          <w:rFonts w:ascii="Arial" w:hAnsi="Arial" w:cs="Arial"/>
        </w:rPr>
        <w:t>Para ello, la Sala establece una conexión entre el concepto de discapac</w:t>
      </w:r>
      <w:r w:rsidR="00C423D3">
        <w:rPr>
          <w:rFonts w:ascii="Arial" w:hAnsi="Arial" w:cs="Arial"/>
        </w:rPr>
        <w:t>idad y la C</w:t>
      </w:r>
      <w:r w:rsidR="00300675">
        <w:rPr>
          <w:rFonts w:ascii="Arial" w:hAnsi="Arial" w:cs="Arial"/>
        </w:rPr>
        <w:t>onvención, fruto de su</w:t>
      </w:r>
      <w:r w:rsidR="00A16672">
        <w:rPr>
          <w:rFonts w:ascii="Arial" w:hAnsi="Arial" w:cs="Arial"/>
        </w:rPr>
        <w:t xml:space="preserve"> aprobación por la Unión Europea en 2009</w:t>
      </w:r>
      <w:r w:rsidR="00A16672">
        <w:rPr>
          <w:rStyle w:val="Refdenotaalpie"/>
          <w:rFonts w:ascii="Arial" w:hAnsi="Arial" w:cs="Arial"/>
        </w:rPr>
        <w:footnoteReference w:id="58"/>
      </w:r>
      <w:r w:rsidR="00A16672">
        <w:rPr>
          <w:rFonts w:ascii="Arial" w:hAnsi="Arial" w:cs="Arial"/>
        </w:rPr>
        <w:t xml:space="preserve">. Y sobre este punto, conviene destacar que la Sentencia HK </w:t>
      </w:r>
      <w:proofErr w:type="spellStart"/>
      <w:r w:rsidR="00A16672">
        <w:rPr>
          <w:rFonts w:ascii="Arial" w:hAnsi="Arial" w:cs="Arial"/>
        </w:rPr>
        <w:t>Danmark</w:t>
      </w:r>
      <w:proofErr w:type="spellEnd"/>
      <w:r w:rsidR="00A16672">
        <w:rPr>
          <w:rFonts w:ascii="Arial" w:hAnsi="Arial" w:cs="Arial"/>
        </w:rPr>
        <w:t xml:space="preserve"> clarifica el valor interpretativo de la Convención, aclaración que resultaba necesaria</w:t>
      </w:r>
      <w:r w:rsidR="00A16672">
        <w:rPr>
          <w:rStyle w:val="Refdenotaalpie"/>
          <w:rFonts w:ascii="Arial" w:hAnsi="Arial" w:cs="Arial"/>
        </w:rPr>
        <w:footnoteReference w:id="59"/>
      </w:r>
      <w:r w:rsidR="00A16672">
        <w:rPr>
          <w:rFonts w:ascii="Arial" w:hAnsi="Arial" w:cs="Arial"/>
        </w:rPr>
        <w:t xml:space="preserve">, señalando que la </w:t>
      </w:r>
      <w:r w:rsidR="00A16672" w:rsidRPr="00B94C88">
        <w:rPr>
          <w:rFonts w:ascii="Arial" w:hAnsi="Arial" w:cs="Arial"/>
          <w:i/>
        </w:rPr>
        <w:t xml:space="preserve">“[…] Directiva 2000/78 debe interpretarse, en la medida de lo posible, de conformidad con dicha </w:t>
      </w:r>
      <w:r w:rsidR="00A16672" w:rsidRPr="00B94C88">
        <w:rPr>
          <w:rFonts w:ascii="Arial" w:hAnsi="Arial" w:cs="Arial"/>
          <w:i/>
        </w:rPr>
        <w:lastRenderedPageBreak/>
        <w:t>Convención</w:t>
      </w:r>
      <w:r w:rsidR="00A16672">
        <w:rPr>
          <w:rStyle w:val="Refdenotaalpie"/>
          <w:rFonts w:ascii="Arial" w:hAnsi="Arial" w:cs="Arial"/>
          <w:i/>
        </w:rPr>
        <w:footnoteReference w:id="60"/>
      </w:r>
      <w:r w:rsidR="00A16672" w:rsidRPr="00B94C88">
        <w:rPr>
          <w:rFonts w:ascii="Arial" w:hAnsi="Arial" w:cs="Arial"/>
          <w:i/>
        </w:rPr>
        <w:t>”</w:t>
      </w:r>
      <w:r w:rsidR="00A16672">
        <w:rPr>
          <w:rFonts w:ascii="Arial" w:hAnsi="Arial" w:cs="Arial"/>
          <w:i/>
        </w:rPr>
        <w:t>.</w:t>
      </w:r>
      <w:r w:rsidR="001A63B1">
        <w:rPr>
          <w:rFonts w:ascii="Arial" w:hAnsi="Arial" w:cs="Arial"/>
        </w:rPr>
        <w:t>S</w:t>
      </w:r>
      <w:r w:rsidR="00060A95">
        <w:rPr>
          <w:rFonts w:ascii="Arial" w:hAnsi="Arial" w:cs="Arial"/>
        </w:rPr>
        <w:t xml:space="preserve">i tenemos en cuenta </w:t>
      </w:r>
      <w:r w:rsidR="00060A95" w:rsidRPr="00060A95">
        <w:rPr>
          <w:rFonts w:ascii="Arial" w:hAnsi="Arial" w:cs="Arial"/>
        </w:rPr>
        <w:t>que la primacía de los acuerdos internacionales celebrados por la Unión</w:t>
      </w:r>
      <w:r w:rsidR="00400A6A">
        <w:rPr>
          <w:rFonts w:ascii="Arial" w:hAnsi="Arial" w:cs="Arial"/>
        </w:rPr>
        <w:t xml:space="preserve"> </w:t>
      </w:r>
      <w:r w:rsidR="001A63B1" w:rsidRPr="00060A95">
        <w:rPr>
          <w:rFonts w:ascii="Arial" w:hAnsi="Arial" w:cs="Arial"/>
        </w:rPr>
        <w:t>obliga a interpretar</w:t>
      </w:r>
      <w:r w:rsidR="00060A95" w:rsidRPr="00060A95">
        <w:rPr>
          <w:rFonts w:ascii="Arial" w:hAnsi="Arial" w:cs="Arial"/>
        </w:rPr>
        <w:t>las di</w:t>
      </w:r>
      <w:r w:rsidR="001A63B1">
        <w:rPr>
          <w:rFonts w:ascii="Arial" w:hAnsi="Arial" w:cs="Arial"/>
        </w:rPr>
        <w:t>sposiciones de Derecho derivado,</w:t>
      </w:r>
      <w:r w:rsidR="00060A95" w:rsidRPr="00060A95">
        <w:rPr>
          <w:rFonts w:ascii="Arial" w:hAnsi="Arial" w:cs="Arial"/>
        </w:rPr>
        <w:t xml:space="preserve"> en la medida de lo posible, de conformidad con dichos acuerdos</w:t>
      </w:r>
      <w:r w:rsidR="00060A95">
        <w:rPr>
          <w:rStyle w:val="Refdenotaalpie"/>
          <w:rFonts w:ascii="Arial" w:hAnsi="Arial" w:cs="Arial"/>
        </w:rPr>
        <w:footnoteReference w:id="61"/>
      </w:r>
      <w:r w:rsidR="00060A95">
        <w:rPr>
          <w:rFonts w:ascii="Arial" w:hAnsi="Arial" w:cs="Arial"/>
        </w:rPr>
        <w:t>,</w:t>
      </w:r>
      <w:r w:rsidR="001A63B1">
        <w:rPr>
          <w:rFonts w:ascii="Arial" w:hAnsi="Arial" w:cs="Arial"/>
        </w:rPr>
        <w:t xml:space="preserve"> podemos concluir que la Convención se halla en un nivel superior al Derecho derivado, y en consecuencia, jugará un papel fundamental en la interpretación de las disposiciones de la Directiva 2000/78, hecho éste que exigirá una reinterpretación de algunos preceptos de dicha Directiva</w:t>
      </w:r>
      <w:r w:rsidR="001A63B1">
        <w:rPr>
          <w:rStyle w:val="Refdenotaalpie"/>
          <w:rFonts w:ascii="Arial" w:hAnsi="Arial" w:cs="Arial"/>
        </w:rPr>
        <w:footnoteReference w:id="62"/>
      </w:r>
      <w:r w:rsidR="001A63B1">
        <w:rPr>
          <w:rFonts w:ascii="Arial" w:hAnsi="Arial" w:cs="Arial"/>
        </w:rPr>
        <w:t xml:space="preserve">. </w:t>
      </w:r>
      <w:r w:rsidR="00460D2C">
        <w:rPr>
          <w:rFonts w:ascii="Arial" w:hAnsi="Arial" w:cs="Arial"/>
        </w:rPr>
        <w:t>Sin embargo, este hecho plantea problemas más inmediatos, como por ejemplo quien debe asumir la implementación</w:t>
      </w:r>
      <w:r w:rsidR="00F75F68">
        <w:rPr>
          <w:rFonts w:ascii="Arial" w:hAnsi="Arial" w:cs="Arial"/>
        </w:rPr>
        <w:t xml:space="preserve"> de las disposiciones</w:t>
      </w:r>
      <w:r w:rsidR="004971B8">
        <w:rPr>
          <w:rFonts w:ascii="Arial" w:hAnsi="Arial" w:cs="Arial"/>
        </w:rPr>
        <w:t xml:space="preserve"> </w:t>
      </w:r>
      <w:r w:rsidR="00F75F68">
        <w:rPr>
          <w:rFonts w:ascii="Arial" w:hAnsi="Arial" w:cs="Arial"/>
        </w:rPr>
        <w:t>prevista</w:t>
      </w:r>
      <w:r w:rsidR="00460D2C">
        <w:rPr>
          <w:rFonts w:ascii="Arial" w:hAnsi="Arial" w:cs="Arial"/>
        </w:rPr>
        <w:t>s en la Convención</w:t>
      </w:r>
      <w:r w:rsidR="00F75F68">
        <w:rPr>
          <w:rFonts w:ascii="Arial" w:hAnsi="Arial" w:cs="Arial"/>
        </w:rPr>
        <w:t>, toda vez que algunas de ellas forman parte de competencias compartidas de la Unión Europea</w:t>
      </w:r>
      <w:r w:rsidR="00460D2C">
        <w:rPr>
          <w:rStyle w:val="Refdenotaalpie"/>
          <w:rFonts w:ascii="Arial" w:hAnsi="Arial" w:cs="Arial"/>
        </w:rPr>
        <w:footnoteReference w:id="63"/>
      </w:r>
      <w:r w:rsidR="00460D2C">
        <w:rPr>
          <w:rFonts w:ascii="Arial" w:hAnsi="Arial" w:cs="Arial"/>
        </w:rPr>
        <w:t>.</w:t>
      </w:r>
    </w:p>
    <w:p w:rsidR="00A16672" w:rsidRDefault="00A16672" w:rsidP="00A16672">
      <w:pPr>
        <w:autoSpaceDE w:val="0"/>
        <w:autoSpaceDN w:val="0"/>
        <w:adjustRightInd w:val="0"/>
        <w:spacing w:after="0" w:line="360" w:lineRule="auto"/>
        <w:jc w:val="both"/>
        <w:rPr>
          <w:rFonts w:ascii="Arial" w:hAnsi="Arial" w:cs="Arial"/>
        </w:rPr>
      </w:pPr>
      <w:r>
        <w:rPr>
          <w:rFonts w:ascii="Arial" w:hAnsi="Arial" w:cs="Arial"/>
        </w:rPr>
        <w:tab/>
      </w:r>
      <w:r w:rsidR="00C3267F">
        <w:rPr>
          <w:rFonts w:ascii="Arial" w:hAnsi="Arial" w:cs="Arial"/>
        </w:rPr>
        <w:t>Así pues, el Tribunal asume</w:t>
      </w:r>
      <w:r>
        <w:rPr>
          <w:rFonts w:ascii="Arial" w:hAnsi="Arial" w:cs="Arial"/>
        </w:rPr>
        <w:t xml:space="preserve"> el modelo social de tratamiento de discapacidad y conceptualiza la discapacidad como “[…] </w:t>
      </w:r>
      <w:r w:rsidRPr="00B44D06">
        <w:rPr>
          <w:rFonts w:ascii="Arial" w:hAnsi="Arial" w:cs="Arial"/>
          <w:i/>
        </w:rPr>
        <w:t>una limitación, derivada en particular de dolencias físicas, mentales o psíquicas que, al interactuar con diversas barreras, puede impedir la participación plena y efectiva de la persona de que se trate en la vida profesional en igualdad de condiciones con los demás trabajadores</w:t>
      </w:r>
      <w:r>
        <w:rPr>
          <w:rStyle w:val="Refdenotaalpie"/>
          <w:rFonts w:ascii="Arial" w:hAnsi="Arial" w:cs="Arial"/>
          <w:i/>
        </w:rPr>
        <w:footnoteReference w:id="64"/>
      </w:r>
      <w:r>
        <w:rPr>
          <w:rFonts w:ascii="Arial" w:hAnsi="Arial" w:cs="Arial"/>
          <w:i/>
        </w:rPr>
        <w:t>”</w:t>
      </w:r>
      <w:r w:rsidRPr="00B44D06">
        <w:rPr>
          <w:rFonts w:ascii="Arial" w:hAnsi="Arial" w:cs="Arial"/>
          <w:i/>
        </w:rPr>
        <w:t>.</w:t>
      </w:r>
      <w:r>
        <w:rPr>
          <w:rFonts w:ascii="Arial" w:hAnsi="Arial" w:cs="Arial"/>
        </w:rPr>
        <w:t xml:space="preserve"> La introducción de la afectación a la participación de este colectivo en la vida profesional supone la apertura del concepto de discapacidad, expandiendo así la posibilidad de que la enfermedad pueda ser asimilada a la discapacidad</w:t>
      </w:r>
      <w:r>
        <w:rPr>
          <w:rStyle w:val="Refdenotaalpie"/>
          <w:rFonts w:ascii="Arial" w:hAnsi="Arial" w:cs="Arial"/>
        </w:rPr>
        <w:footnoteReference w:id="65"/>
      </w:r>
      <w:r>
        <w:rPr>
          <w:rFonts w:ascii="Arial" w:hAnsi="Arial" w:cs="Arial"/>
        </w:rPr>
        <w:t>, y además precisa que el origen de la discapacidad es irrelevante en orden a su determinación</w:t>
      </w:r>
      <w:r>
        <w:rPr>
          <w:rStyle w:val="Refdenotaalpie"/>
          <w:rFonts w:ascii="Arial" w:hAnsi="Arial" w:cs="Arial"/>
        </w:rPr>
        <w:footnoteReference w:id="66"/>
      </w:r>
      <w:r>
        <w:rPr>
          <w:rFonts w:ascii="Arial" w:hAnsi="Arial" w:cs="Arial"/>
        </w:rPr>
        <w:t xml:space="preserve">. En este sentido, los párrafos 41 y 42 de la sentencia HK </w:t>
      </w:r>
      <w:proofErr w:type="spellStart"/>
      <w:r>
        <w:rPr>
          <w:rFonts w:ascii="Arial" w:hAnsi="Arial" w:cs="Arial"/>
        </w:rPr>
        <w:t>Danmark</w:t>
      </w:r>
      <w:proofErr w:type="spellEnd"/>
      <w:r>
        <w:rPr>
          <w:rFonts w:ascii="Arial" w:hAnsi="Arial" w:cs="Arial"/>
        </w:rPr>
        <w:t xml:space="preserve"> clarifican que sólo aquellas enfermedades que acarreen una limitación</w:t>
      </w:r>
      <w:r w:rsidR="00C3267F">
        <w:rPr>
          <w:rFonts w:ascii="Arial" w:hAnsi="Arial" w:cs="Arial"/>
        </w:rPr>
        <w:t xml:space="preserve"> profesional</w:t>
      </w:r>
      <w:r>
        <w:rPr>
          <w:rFonts w:ascii="Arial" w:hAnsi="Arial" w:cs="Arial"/>
        </w:rPr>
        <w:t xml:space="preserve"> pueden estar incluidas en el concepto de discapacidad en el sentido de la Directiva 2000/78. Así, el Tribunal no añade la enfermedad como una nueva causa de discriminación a las previstas en la Directiva 2000/78, sino que permite la asimilación de aquella a la discapacidad, siempre y cuando concurran las notas exigidas por el artículo 1 de la Convención. </w:t>
      </w:r>
    </w:p>
    <w:p w:rsidR="00A16672" w:rsidRPr="00014F2C" w:rsidRDefault="00A16672" w:rsidP="00A16672">
      <w:pPr>
        <w:autoSpaceDE w:val="0"/>
        <w:autoSpaceDN w:val="0"/>
        <w:adjustRightInd w:val="0"/>
        <w:spacing w:after="0" w:line="360" w:lineRule="auto"/>
        <w:jc w:val="both"/>
        <w:rPr>
          <w:rFonts w:ascii="Arial" w:hAnsi="Arial" w:cs="Arial"/>
        </w:rPr>
      </w:pPr>
      <w:r>
        <w:rPr>
          <w:rFonts w:ascii="Arial" w:hAnsi="Arial" w:cs="Arial"/>
        </w:rPr>
        <w:lastRenderedPageBreak/>
        <w:tab/>
        <w:t xml:space="preserve">Por lo tanto, la limitación de la capacidad profesional derivada de las dolencias constituye el nuevo núcleo esencial del concepto de persona con discapacidad, circunstancia ésta a la que se le ha de sumar la particularidad de que </w:t>
      </w:r>
      <w:r w:rsidRPr="00014F2C">
        <w:rPr>
          <w:rFonts w:ascii="Arial" w:hAnsi="Arial" w:cs="Arial"/>
        </w:rPr>
        <w:t>las deficiencias físicas, mentales, intelectuales o senso</w:t>
      </w:r>
      <w:r>
        <w:rPr>
          <w:rFonts w:ascii="Arial" w:hAnsi="Arial" w:cs="Arial"/>
        </w:rPr>
        <w:t xml:space="preserve">riales deben ser a largo plazo, </w:t>
      </w:r>
      <w:r>
        <w:rPr>
          <w:rFonts w:ascii="Arial" w:hAnsi="Arial" w:cs="Arial"/>
          <w:i/>
        </w:rPr>
        <w:t>ex</w:t>
      </w:r>
      <w:r>
        <w:rPr>
          <w:rFonts w:ascii="Arial" w:hAnsi="Arial" w:cs="Arial"/>
        </w:rPr>
        <w:t xml:space="preserve"> artículo 1 de la Convención. No obstante, conviene señalar que, si bien la asunción de la definición de persona con discapacidad por el TJUE simboliza la integración del modelo social en la interpretación de la Directiva 2000/78, la sentencia </w:t>
      </w:r>
      <w:r w:rsidR="002E0F05">
        <w:rPr>
          <w:rFonts w:ascii="Arial" w:hAnsi="Arial" w:cs="Arial"/>
        </w:rPr>
        <w:t xml:space="preserve">HK </w:t>
      </w:r>
      <w:proofErr w:type="spellStart"/>
      <w:r w:rsidRPr="00014F2C">
        <w:rPr>
          <w:rFonts w:ascii="Arial" w:hAnsi="Arial" w:cs="Arial"/>
        </w:rPr>
        <w:t>Danmark</w:t>
      </w:r>
      <w:proofErr w:type="spellEnd"/>
      <w:r>
        <w:rPr>
          <w:rFonts w:ascii="Arial" w:hAnsi="Arial" w:cs="Arial"/>
        </w:rPr>
        <w:t xml:space="preserve"> deja abiertos dos problemas: el significado de la expresión “largo plazo”, cuestión ésta que ha sido discutida recientemente en la sentencia </w:t>
      </w:r>
      <w:proofErr w:type="spellStart"/>
      <w:r>
        <w:rPr>
          <w:rFonts w:ascii="Arial" w:hAnsi="Arial" w:cs="Arial"/>
        </w:rPr>
        <w:t>Daou</w:t>
      </w:r>
      <w:r w:rsidR="00300675">
        <w:rPr>
          <w:rFonts w:ascii="Arial" w:hAnsi="Arial" w:cs="Arial"/>
        </w:rPr>
        <w:t>i</w:t>
      </w:r>
      <w:r>
        <w:rPr>
          <w:rFonts w:ascii="Arial" w:hAnsi="Arial" w:cs="Arial"/>
        </w:rPr>
        <w:t>di</w:t>
      </w:r>
      <w:proofErr w:type="spellEnd"/>
      <w:r w:rsidR="00300675">
        <w:rPr>
          <w:rStyle w:val="Refdenotaalpie"/>
          <w:rFonts w:ascii="Arial" w:hAnsi="Arial" w:cs="Arial"/>
        </w:rPr>
        <w:footnoteReference w:id="67"/>
      </w:r>
      <w:r>
        <w:rPr>
          <w:rFonts w:ascii="Arial" w:hAnsi="Arial" w:cs="Arial"/>
        </w:rPr>
        <w:t>,</w:t>
      </w:r>
      <w:r w:rsidR="006C37CD" w:rsidRPr="006C37CD">
        <w:rPr>
          <w:rFonts w:ascii="Arial" w:hAnsi="Arial" w:cs="Arial"/>
        </w:rPr>
        <w:t xml:space="preserve">C-395/15, EU:C:2016:917, </w:t>
      </w:r>
      <w:r>
        <w:rPr>
          <w:rFonts w:ascii="Arial" w:hAnsi="Arial" w:cs="Arial"/>
        </w:rPr>
        <w:t>y el encaje de la limitación de la capacidad profesional en los países que utilizan un sistema de porcentajes para determinar la existencia de discapacidad</w:t>
      </w:r>
      <w:r>
        <w:rPr>
          <w:rStyle w:val="Refdenotaalpie"/>
          <w:rFonts w:ascii="Arial" w:hAnsi="Arial" w:cs="Arial"/>
        </w:rPr>
        <w:footnoteReference w:id="68"/>
      </w:r>
      <w:r>
        <w:rPr>
          <w:rFonts w:ascii="Arial" w:hAnsi="Arial" w:cs="Arial"/>
        </w:rPr>
        <w:t>.</w:t>
      </w:r>
    </w:p>
    <w:p w:rsidR="00A16672" w:rsidRDefault="00A16672" w:rsidP="00A16672">
      <w:pPr>
        <w:autoSpaceDE w:val="0"/>
        <w:autoSpaceDN w:val="0"/>
        <w:adjustRightInd w:val="0"/>
        <w:spacing w:after="0" w:line="360" w:lineRule="auto"/>
        <w:jc w:val="both"/>
        <w:rPr>
          <w:rFonts w:ascii="Arial" w:hAnsi="Arial" w:cs="Arial"/>
        </w:rPr>
      </w:pPr>
      <w:r>
        <w:rPr>
          <w:rFonts w:ascii="Arial" w:hAnsi="Arial" w:cs="Arial"/>
        </w:rPr>
        <w:tab/>
        <w:t xml:space="preserve">Una precisión sobre la que conviene detenerse es la contenida en el párrafo 43 de la Sentencia HK </w:t>
      </w:r>
      <w:proofErr w:type="spellStart"/>
      <w:r>
        <w:rPr>
          <w:rFonts w:ascii="Arial" w:hAnsi="Arial" w:cs="Arial"/>
        </w:rPr>
        <w:t>Danmark</w:t>
      </w:r>
      <w:proofErr w:type="spellEnd"/>
      <w:r>
        <w:rPr>
          <w:rFonts w:ascii="Arial" w:hAnsi="Arial" w:cs="Arial"/>
        </w:rPr>
        <w:t>. Este se encarga de especificar que el significado de discapacidad no implica una exclusión total del trabajo,</w:t>
      </w:r>
      <w:r w:rsidR="0077221F">
        <w:rPr>
          <w:rFonts w:ascii="Arial" w:hAnsi="Arial" w:cs="Arial"/>
        </w:rPr>
        <w:t xml:space="preserve"> sino un obstáculo que dificulte</w:t>
      </w:r>
      <w:r>
        <w:rPr>
          <w:rFonts w:ascii="Arial" w:hAnsi="Arial" w:cs="Arial"/>
        </w:rPr>
        <w:t xml:space="preserve"> su desarr</w:t>
      </w:r>
      <w:r w:rsidR="00EB2BB2">
        <w:rPr>
          <w:rFonts w:ascii="Arial" w:hAnsi="Arial" w:cs="Arial"/>
        </w:rPr>
        <w:t>ollo, o dicho en otras palabras,</w:t>
      </w:r>
      <w:r w:rsidR="00BD6630">
        <w:rPr>
          <w:rFonts w:ascii="Arial" w:hAnsi="Arial" w:cs="Arial"/>
        </w:rPr>
        <w:t xml:space="preserve"> basta</w:t>
      </w:r>
      <w:r w:rsidR="004971B8">
        <w:rPr>
          <w:rFonts w:ascii="Arial" w:hAnsi="Arial" w:cs="Arial"/>
        </w:rPr>
        <w:t xml:space="preserve"> </w:t>
      </w:r>
      <w:r w:rsidR="006C37CD">
        <w:rPr>
          <w:rFonts w:ascii="Arial" w:hAnsi="Arial" w:cs="Arial"/>
        </w:rPr>
        <w:t>que limite</w:t>
      </w:r>
      <w:r>
        <w:rPr>
          <w:rFonts w:ascii="Arial" w:hAnsi="Arial" w:cs="Arial"/>
        </w:rPr>
        <w:t xml:space="preserve"> la participación del trabajador en su vida profesional</w:t>
      </w:r>
      <w:r w:rsidR="00BD6630">
        <w:rPr>
          <w:rFonts w:ascii="Arial" w:hAnsi="Arial" w:cs="Arial"/>
        </w:rPr>
        <w:t>, incluyendo así limitaciones parciales</w:t>
      </w:r>
      <w:r w:rsidR="00BD6630">
        <w:rPr>
          <w:rStyle w:val="Refdenotaalpie"/>
          <w:rFonts w:ascii="Arial" w:hAnsi="Arial" w:cs="Arial"/>
        </w:rPr>
        <w:footnoteReference w:id="69"/>
      </w:r>
      <w:r>
        <w:rPr>
          <w:rFonts w:ascii="Arial" w:hAnsi="Arial" w:cs="Arial"/>
        </w:rPr>
        <w:t xml:space="preserve">. De esta manera, </w:t>
      </w:r>
      <w:r w:rsidRPr="0000415D">
        <w:rPr>
          <w:rFonts w:ascii="Arial" w:hAnsi="Arial" w:cs="Arial"/>
          <w:i/>
        </w:rPr>
        <w:t>el estado de salud de una persona discapacitada que puede trabajar, aunque sólo sea a tiempo parcial, puede, por tanto, entrar dentro del concepto de «discapacidad»</w:t>
      </w:r>
      <w:r>
        <w:rPr>
          <w:rFonts w:ascii="Arial" w:hAnsi="Arial" w:cs="Arial"/>
        </w:rPr>
        <w:t xml:space="preserve">. </w:t>
      </w:r>
      <w:r w:rsidRPr="006C37CD">
        <w:rPr>
          <w:rFonts w:ascii="Arial" w:hAnsi="Arial" w:cs="Arial"/>
        </w:rPr>
        <w:t>Con esta matización, el Tribunal muestra una clara voluntad de ampliar la protección ofrecida por la Directiva 2000/78 a situaciones límite en las que se pueden prestar servicios pero con limitaciones, fomentando así una mayor participación y la ac</w:t>
      </w:r>
      <w:r w:rsidR="00D3232F">
        <w:rPr>
          <w:rFonts w:ascii="Arial" w:hAnsi="Arial" w:cs="Arial"/>
        </w:rPr>
        <w:t>cesibilidad de este colectivo en el</w:t>
      </w:r>
      <w:r w:rsidRPr="006C37CD">
        <w:rPr>
          <w:rFonts w:ascii="Arial" w:hAnsi="Arial" w:cs="Arial"/>
        </w:rPr>
        <w:t xml:space="preserve"> mercado de trabajo</w:t>
      </w:r>
      <w:r w:rsidR="006C37CD" w:rsidRPr="006C37CD">
        <w:rPr>
          <w:rFonts w:ascii="Arial" w:hAnsi="Arial" w:cs="Arial"/>
        </w:rPr>
        <w:t>.</w:t>
      </w:r>
    </w:p>
    <w:p w:rsidR="00A16672" w:rsidRDefault="00184399" w:rsidP="00A16672">
      <w:pPr>
        <w:autoSpaceDE w:val="0"/>
        <w:autoSpaceDN w:val="0"/>
        <w:adjustRightInd w:val="0"/>
        <w:spacing w:after="0" w:line="360" w:lineRule="auto"/>
        <w:jc w:val="both"/>
        <w:rPr>
          <w:rFonts w:ascii="Arial" w:hAnsi="Arial" w:cs="Arial"/>
        </w:rPr>
      </w:pPr>
      <w:r>
        <w:rPr>
          <w:rFonts w:ascii="Arial" w:hAnsi="Arial" w:cs="Arial"/>
        </w:rPr>
        <w:tab/>
      </w:r>
      <w:r w:rsidR="006C37CD">
        <w:rPr>
          <w:rFonts w:ascii="Arial" w:hAnsi="Arial" w:cs="Arial"/>
        </w:rPr>
        <w:t>En relación a los ajuste</w:t>
      </w:r>
      <w:r w:rsidR="00D3232F">
        <w:rPr>
          <w:rFonts w:ascii="Arial" w:hAnsi="Arial" w:cs="Arial"/>
        </w:rPr>
        <w:t xml:space="preserve">s razonables, </w:t>
      </w:r>
      <w:r w:rsidR="0077221F">
        <w:rPr>
          <w:rFonts w:ascii="Arial" w:hAnsi="Arial" w:cs="Arial"/>
        </w:rPr>
        <w:t>el párrafo 45</w:t>
      </w:r>
      <w:r w:rsidR="004971B8">
        <w:rPr>
          <w:rFonts w:ascii="Arial" w:hAnsi="Arial" w:cs="Arial"/>
        </w:rPr>
        <w:t xml:space="preserve"> </w:t>
      </w:r>
      <w:r w:rsidR="00A16672">
        <w:rPr>
          <w:rFonts w:ascii="Arial" w:hAnsi="Arial" w:cs="Arial"/>
        </w:rPr>
        <w:t>se encarga de clarificar que la existencia de una discapacidad no depende de la naturaleza de los ajustes o de la utilización de equipamiento especial</w:t>
      </w:r>
      <w:r w:rsidR="00AC7F88">
        <w:rPr>
          <w:rFonts w:ascii="Arial" w:hAnsi="Arial" w:cs="Arial"/>
        </w:rPr>
        <w:t>, ya que excluiría de su definición las dolencias físicas y mentales</w:t>
      </w:r>
      <w:r w:rsidR="00AC7F88">
        <w:rPr>
          <w:rStyle w:val="Refdenotaalpie"/>
          <w:rFonts w:ascii="Arial" w:hAnsi="Arial" w:cs="Arial"/>
        </w:rPr>
        <w:footnoteReference w:id="70"/>
      </w:r>
      <w:r w:rsidR="00A16672">
        <w:rPr>
          <w:rFonts w:ascii="Arial" w:hAnsi="Arial" w:cs="Arial"/>
        </w:rPr>
        <w:t xml:space="preserve">. Con esta afirmación, el Tribunal pretende señalar que la determinación de una </w:t>
      </w:r>
      <w:r w:rsidR="00A16672">
        <w:rPr>
          <w:rFonts w:ascii="Arial" w:hAnsi="Arial" w:cs="Arial"/>
        </w:rPr>
        <w:lastRenderedPageBreak/>
        <w:t xml:space="preserve">discapacidad es una actuación previa a la necesidad de realizar ajustes razonables. Por lo tanto, la determinación de la existencia de una discapacidad no podrá tener en cuenta la necesidad de realizar ajustes razonables en el puesto de trabajo, pues “[…] </w:t>
      </w:r>
      <w:r w:rsidR="00A16672" w:rsidRPr="00904864">
        <w:rPr>
          <w:rFonts w:ascii="Arial" w:hAnsi="Arial" w:cs="Arial"/>
          <w:i/>
        </w:rPr>
        <w:t>son la consecuencia y no el elemento constitutivo del concepto de discapacidad</w:t>
      </w:r>
      <w:r w:rsidR="00A16672">
        <w:rPr>
          <w:rStyle w:val="Refdenotaalpie"/>
          <w:rFonts w:ascii="Arial" w:hAnsi="Arial" w:cs="Arial"/>
          <w:i/>
        </w:rPr>
        <w:footnoteReference w:id="71"/>
      </w:r>
      <w:r w:rsidR="00A16672">
        <w:rPr>
          <w:rFonts w:ascii="Arial" w:hAnsi="Arial" w:cs="Arial"/>
          <w:i/>
        </w:rPr>
        <w:t>”</w:t>
      </w:r>
      <w:r w:rsidR="00A16672">
        <w:rPr>
          <w:rFonts w:ascii="Arial" w:hAnsi="Arial" w:cs="Arial"/>
        </w:rPr>
        <w:t xml:space="preserve">. </w:t>
      </w:r>
    </w:p>
    <w:p w:rsidR="0077221F" w:rsidRDefault="006C37CD" w:rsidP="006C37CD">
      <w:pPr>
        <w:autoSpaceDE w:val="0"/>
        <w:autoSpaceDN w:val="0"/>
        <w:adjustRightInd w:val="0"/>
        <w:spacing w:after="0" w:line="360" w:lineRule="auto"/>
        <w:ind w:firstLine="708"/>
        <w:jc w:val="both"/>
        <w:rPr>
          <w:rFonts w:ascii="Arial" w:hAnsi="Arial" w:cs="Arial"/>
        </w:rPr>
      </w:pPr>
      <w:r>
        <w:rPr>
          <w:rFonts w:ascii="Arial" w:hAnsi="Arial" w:cs="Arial"/>
        </w:rPr>
        <w:t>Asimismo</w:t>
      </w:r>
      <w:r w:rsidR="00A16672">
        <w:rPr>
          <w:rFonts w:ascii="Arial" w:hAnsi="Arial" w:cs="Arial"/>
        </w:rPr>
        <w:t xml:space="preserve">, la tercera cuestión prejudicial se centra específicamente en la mencionada obligación. Dicha cuestión pretende dilucidar si una reducción del tiempo de trabajo puede constituir una medida de ajuste </w:t>
      </w:r>
      <w:r w:rsidR="00A16672">
        <w:rPr>
          <w:rFonts w:ascii="Arial" w:hAnsi="Arial" w:cs="Arial"/>
          <w:i/>
        </w:rPr>
        <w:t>ex</w:t>
      </w:r>
      <w:r w:rsidR="00A16672">
        <w:rPr>
          <w:rFonts w:ascii="Arial" w:hAnsi="Arial" w:cs="Arial"/>
        </w:rPr>
        <w:t xml:space="preserve"> artículo 5 Directiva 2000/78. La importancia de dar respuesta a este problema no es baladí, ya no sólo porque esta medida no se halla explícitamente prevista en el considerando 20 de la Directiva 2000/78</w:t>
      </w:r>
      <w:r w:rsidR="00A16672">
        <w:rPr>
          <w:rStyle w:val="Refdenotaalpie"/>
          <w:rFonts w:ascii="Arial" w:hAnsi="Arial" w:cs="Arial"/>
        </w:rPr>
        <w:footnoteReference w:id="72"/>
      </w:r>
      <w:r w:rsidR="00A16672">
        <w:rPr>
          <w:rFonts w:ascii="Arial" w:hAnsi="Arial" w:cs="Arial"/>
        </w:rPr>
        <w:t xml:space="preserve">, sino porque la mencionada norma europea no específica si los ajustes razonables pueden ser medidas a tiempo parcial, máxime cuando la Directiva </w:t>
      </w:r>
      <w:r w:rsidR="00A16672" w:rsidRPr="003651F8">
        <w:rPr>
          <w:rFonts w:ascii="Arial" w:hAnsi="Arial" w:cs="Arial"/>
        </w:rPr>
        <w:t>97/81/CE del Consejo de 15 de diciembre de 1997 relativa al Acuerdo marco sobre el trabajo a tiempo parcial concluido por la UNICE, el CEEP y la CES</w:t>
      </w:r>
      <w:r w:rsidR="00A16672">
        <w:rPr>
          <w:rFonts w:ascii="Arial" w:hAnsi="Arial" w:cs="Arial"/>
        </w:rPr>
        <w:t xml:space="preserve"> es la norma europea que se encarga de regular aspectos del trabajo a tiempo parcial. </w:t>
      </w:r>
    </w:p>
    <w:p w:rsidR="00A16672" w:rsidRDefault="00A16672" w:rsidP="006C37CD">
      <w:pPr>
        <w:autoSpaceDE w:val="0"/>
        <w:autoSpaceDN w:val="0"/>
        <w:adjustRightInd w:val="0"/>
        <w:spacing w:after="0" w:line="360" w:lineRule="auto"/>
        <w:ind w:firstLine="708"/>
        <w:jc w:val="both"/>
        <w:rPr>
          <w:rFonts w:ascii="Arial" w:hAnsi="Arial" w:cs="Arial"/>
        </w:rPr>
      </w:pPr>
      <w:r>
        <w:rPr>
          <w:rFonts w:ascii="Arial" w:hAnsi="Arial" w:cs="Arial"/>
        </w:rPr>
        <w:t>La solución que propone el Tribunal se inclina por sostener la inclusión de la reducción del tiempo de trabajo dentro del concepto “pautas de trabajo” previsto en el considerando 20</w:t>
      </w:r>
      <w:r w:rsidR="00E428B5">
        <w:rPr>
          <w:rFonts w:ascii="Arial" w:hAnsi="Arial" w:cs="Arial"/>
        </w:rPr>
        <w:t xml:space="preserve">, como medida organizativa </w:t>
      </w:r>
      <w:r w:rsidR="00E428B5">
        <w:rPr>
          <w:rFonts w:ascii="Arial" w:hAnsi="Arial" w:cs="Arial"/>
          <w:i/>
        </w:rPr>
        <w:t>ex</w:t>
      </w:r>
      <w:r w:rsidR="00E428B5">
        <w:rPr>
          <w:rFonts w:ascii="Arial" w:hAnsi="Arial" w:cs="Arial"/>
        </w:rPr>
        <w:t xml:space="preserve"> artículo 5</w:t>
      </w:r>
      <w:r>
        <w:rPr>
          <w:rFonts w:ascii="Arial" w:hAnsi="Arial" w:cs="Arial"/>
        </w:rPr>
        <w:t xml:space="preserve"> Directiva 200</w:t>
      </w:r>
      <w:r w:rsidR="002E0F05">
        <w:rPr>
          <w:rFonts w:ascii="Arial" w:hAnsi="Arial" w:cs="Arial"/>
        </w:rPr>
        <w:t xml:space="preserve">0/78. Para ello, la sentencia HK </w:t>
      </w:r>
      <w:proofErr w:type="spellStart"/>
      <w:r>
        <w:rPr>
          <w:rFonts w:ascii="Arial" w:hAnsi="Arial" w:cs="Arial"/>
        </w:rPr>
        <w:t>Danmark</w:t>
      </w:r>
      <w:proofErr w:type="spellEnd"/>
      <w:r>
        <w:rPr>
          <w:rFonts w:ascii="Arial" w:hAnsi="Arial" w:cs="Arial"/>
        </w:rPr>
        <w:t xml:space="preserve"> efectúa una interpretación expansiva de los ajustes</w:t>
      </w:r>
      <w:r w:rsidR="0077221F">
        <w:rPr>
          <w:rFonts w:ascii="Arial" w:hAnsi="Arial" w:cs="Arial"/>
        </w:rPr>
        <w:t xml:space="preserve"> razonables, basándose</w:t>
      </w:r>
      <w:r>
        <w:rPr>
          <w:rFonts w:ascii="Arial" w:hAnsi="Arial" w:cs="Arial"/>
        </w:rPr>
        <w:t xml:space="preserve"> en que la </w:t>
      </w:r>
      <w:proofErr w:type="spellStart"/>
      <w:r>
        <w:rPr>
          <w:rFonts w:ascii="Arial" w:hAnsi="Arial" w:cs="Arial"/>
          <w:i/>
        </w:rPr>
        <w:t>voluntas</w:t>
      </w:r>
      <w:proofErr w:type="spellEnd"/>
      <w:r w:rsidR="00400A6A">
        <w:rPr>
          <w:rFonts w:ascii="Arial" w:hAnsi="Arial" w:cs="Arial"/>
          <w:i/>
        </w:rPr>
        <w:t xml:space="preserve"> </w:t>
      </w:r>
      <w:proofErr w:type="spellStart"/>
      <w:r>
        <w:rPr>
          <w:rFonts w:ascii="Arial" w:hAnsi="Arial" w:cs="Arial"/>
          <w:i/>
        </w:rPr>
        <w:t>legislatoris</w:t>
      </w:r>
      <w:proofErr w:type="spellEnd"/>
      <w:r w:rsidR="00400A6A">
        <w:rPr>
          <w:rFonts w:ascii="Arial" w:hAnsi="Arial" w:cs="Arial"/>
          <w:i/>
        </w:rPr>
        <w:t xml:space="preserve"> </w:t>
      </w:r>
      <w:r>
        <w:rPr>
          <w:rFonts w:ascii="Arial" w:hAnsi="Arial" w:cs="Arial"/>
        </w:rPr>
        <w:t>pretendió</w:t>
      </w:r>
      <w:r w:rsidR="00394D2F">
        <w:rPr>
          <w:rFonts w:ascii="Arial" w:hAnsi="Arial" w:cs="Arial"/>
        </w:rPr>
        <w:t xml:space="preserve"> no</w:t>
      </w:r>
      <w:r>
        <w:rPr>
          <w:rFonts w:ascii="Arial" w:hAnsi="Arial" w:cs="Arial"/>
        </w:rPr>
        <w:t xml:space="preserve"> establecer limitaciones en cuanto a la inclusión de medidas concretas</w:t>
      </w:r>
      <w:r>
        <w:rPr>
          <w:rStyle w:val="Refdenotaalpie"/>
          <w:rFonts w:ascii="Arial" w:hAnsi="Arial" w:cs="Arial"/>
        </w:rPr>
        <w:footnoteReference w:id="73"/>
      </w:r>
      <w:r>
        <w:rPr>
          <w:rFonts w:ascii="Arial" w:hAnsi="Arial" w:cs="Arial"/>
        </w:rPr>
        <w:t>, primando como objetivo el</w:t>
      </w:r>
      <w:r w:rsidR="0061398D">
        <w:rPr>
          <w:rFonts w:ascii="Arial" w:hAnsi="Arial" w:cs="Arial"/>
        </w:rPr>
        <w:t xml:space="preserve"> fomento</w:t>
      </w:r>
      <w:r>
        <w:rPr>
          <w:rFonts w:ascii="Arial" w:hAnsi="Arial" w:cs="Arial"/>
        </w:rPr>
        <w:t xml:space="preserve"> del empleo de las personas con discapacidad, e</w:t>
      </w:r>
      <w:r w:rsidR="00E428B5">
        <w:rPr>
          <w:rFonts w:ascii="Arial" w:hAnsi="Arial" w:cs="Arial"/>
        </w:rPr>
        <w:t>n consonancia con</w:t>
      </w:r>
      <w:r>
        <w:rPr>
          <w:rFonts w:ascii="Arial" w:hAnsi="Arial" w:cs="Arial"/>
        </w:rPr>
        <w:t xml:space="preserve"> el artículo 2.4 de la Convención</w:t>
      </w:r>
      <w:r>
        <w:rPr>
          <w:rStyle w:val="Refdenotaalpie"/>
          <w:rFonts w:ascii="Arial" w:hAnsi="Arial" w:cs="Arial"/>
        </w:rPr>
        <w:footnoteReference w:id="74"/>
      </w:r>
      <w:r>
        <w:rPr>
          <w:rFonts w:ascii="Arial" w:hAnsi="Arial" w:cs="Arial"/>
        </w:rPr>
        <w:t>.</w:t>
      </w:r>
    </w:p>
    <w:p w:rsidR="00C375BB" w:rsidRDefault="00C375BB" w:rsidP="006C37CD">
      <w:pPr>
        <w:autoSpaceDE w:val="0"/>
        <w:autoSpaceDN w:val="0"/>
        <w:adjustRightInd w:val="0"/>
        <w:spacing w:after="0" w:line="360" w:lineRule="auto"/>
        <w:ind w:firstLine="708"/>
        <w:jc w:val="both"/>
        <w:rPr>
          <w:rFonts w:ascii="Arial" w:hAnsi="Arial" w:cs="Arial"/>
        </w:rPr>
      </w:pPr>
    </w:p>
    <w:p w:rsidR="00C375BB" w:rsidRDefault="00C375BB" w:rsidP="006C37CD">
      <w:pPr>
        <w:autoSpaceDE w:val="0"/>
        <w:autoSpaceDN w:val="0"/>
        <w:adjustRightInd w:val="0"/>
        <w:spacing w:after="0" w:line="360" w:lineRule="auto"/>
        <w:ind w:firstLine="708"/>
        <w:jc w:val="both"/>
        <w:rPr>
          <w:rFonts w:ascii="Arial" w:hAnsi="Arial" w:cs="Arial"/>
        </w:rPr>
      </w:pPr>
    </w:p>
    <w:p w:rsidR="00C375BB" w:rsidRDefault="00C375BB" w:rsidP="006C37CD">
      <w:pPr>
        <w:autoSpaceDE w:val="0"/>
        <w:autoSpaceDN w:val="0"/>
        <w:adjustRightInd w:val="0"/>
        <w:spacing w:after="0" w:line="360" w:lineRule="auto"/>
        <w:ind w:firstLine="708"/>
        <w:jc w:val="both"/>
        <w:rPr>
          <w:rFonts w:ascii="Arial" w:hAnsi="Arial" w:cs="Arial"/>
        </w:rPr>
      </w:pPr>
    </w:p>
    <w:p w:rsidR="004443CF" w:rsidRPr="00D604D2" w:rsidRDefault="005337F8" w:rsidP="005337F8">
      <w:pPr>
        <w:spacing w:after="0" w:line="360" w:lineRule="auto"/>
        <w:jc w:val="both"/>
        <w:rPr>
          <w:rFonts w:ascii="Arial" w:hAnsi="Arial" w:cs="Arial"/>
          <w:u w:val="single"/>
        </w:rPr>
      </w:pPr>
      <w:r>
        <w:rPr>
          <w:rFonts w:ascii="Arial" w:hAnsi="Arial" w:cs="Arial"/>
          <w:u w:val="single"/>
        </w:rPr>
        <w:lastRenderedPageBreak/>
        <w:t>3.- L</w:t>
      </w:r>
      <w:r w:rsidR="00411161">
        <w:rPr>
          <w:rFonts w:ascii="Arial" w:hAnsi="Arial" w:cs="Arial"/>
          <w:u w:val="single"/>
        </w:rPr>
        <w:t>a</w:t>
      </w:r>
      <w:r w:rsidR="004443CF" w:rsidRPr="00D604D2">
        <w:rPr>
          <w:rFonts w:ascii="Arial" w:hAnsi="Arial" w:cs="Arial"/>
          <w:u w:val="single"/>
        </w:rPr>
        <w:t xml:space="preserve"> obligación</w:t>
      </w:r>
      <w:r>
        <w:rPr>
          <w:rFonts w:ascii="Arial" w:hAnsi="Arial" w:cs="Arial"/>
          <w:u w:val="single"/>
        </w:rPr>
        <w:t xml:space="preserve"> de realizar ajustes razonables como control previo</w:t>
      </w:r>
      <w:r w:rsidR="004443CF" w:rsidRPr="00D604D2">
        <w:rPr>
          <w:rFonts w:ascii="Arial" w:hAnsi="Arial" w:cs="Arial"/>
          <w:u w:val="single"/>
        </w:rPr>
        <w:t xml:space="preserve"> en el marco de las extinciones</w:t>
      </w:r>
      <w:r>
        <w:rPr>
          <w:rFonts w:ascii="Arial" w:hAnsi="Arial" w:cs="Arial"/>
          <w:u w:val="single"/>
        </w:rPr>
        <w:t xml:space="preserve"> de personas con discapacidad</w:t>
      </w:r>
    </w:p>
    <w:p w:rsidR="001D3C1B" w:rsidRDefault="001D3C1B" w:rsidP="00394D2F">
      <w:pPr>
        <w:spacing w:after="0" w:line="360" w:lineRule="auto"/>
        <w:ind w:firstLine="708"/>
        <w:jc w:val="both"/>
        <w:rPr>
          <w:rFonts w:ascii="Arial" w:hAnsi="Arial" w:cs="Arial"/>
        </w:rPr>
      </w:pPr>
      <w:r>
        <w:rPr>
          <w:rFonts w:ascii="Arial" w:hAnsi="Arial" w:cs="Arial"/>
        </w:rPr>
        <w:t>La configuración europea de la obligación de realizar ajustes razonables ofrece una protección destinada al mantenimiento del empleo de las personas con discapacidad. Mediante la realización d</w:t>
      </w:r>
      <w:r w:rsidR="00647099">
        <w:rPr>
          <w:rFonts w:ascii="Arial" w:hAnsi="Arial" w:cs="Arial"/>
        </w:rPr>
        <w:t>e adaptaciones, la Directiva 2000/78</w:t>
      </w:r>
      <w:r>
        <w:rPr>
          <w:rFonts w:ascii="Arial" w:hAnsi="Arial" w:cs="Arial"/>
        </w:rPr>
        <w:t xml:space="preserve"> exige a los empleadores</w:t>
      </w:r>
      <w:r w:rsidR="00DC60D2">
        <w:rPr>
          <w:rFonts w:ascii="Arial" w:hAnsi="Arial" w:cs="Arial"/>
        </w:rPr>
        <w:t xml:space="preserve"> una personalización del puesto de trabajo en aras de</w:t>
      </w:r>
      <w:r w:rsidR="00C375BB">
        <w:rPr>
          <w:rFonts w:ascii="Arial" w:hAnsi="Arial" w:cs="Arial"/>
        </w:rPr>
        <w:t xml:space="preserve"> </w:t>
      </w:r>
      <w:r w:rsidR="00DC60D2">
        <w:rPr>
          <w:rFonts w:ascii="Arial" w:hAnsi="Arial" w:cs="Arial"/>
        </w:rPr>
        <w:t xml:space="preserve">adaptarlo a las diferencias subjetivas, materializando así el núcleo esencial del principio de igualdad de trato. </w:t>
      </w:r>
      <w:r w:rsidR="00E508B6">
        <w:rPr>
          <w:rFonts w:ascii="Arial" w:hAnsi="Arial" w:cs="Arial"/>
        </w:rPr>
        <w:t>No obstante, el marco jurídico de algunos ordenamientos jurídicos, como por ejemplo el español, no ha procedido a acomodar algunas de sus instituciones de flexibilidad externa, siendo el caso más paradigmático el supuesto del artículo 49.1.e TRLET, ya advertido por la doctrina</w:t>
      </w:r>
      <w:r w:rsidR="00E508B6">
        <w:rPr>
          <w:rStyle w:val="Refdenotaalpie"/>
          <w:rFonts w:ascii="Arial" w:hAnsi="Arial" w:cs="Arial"/>
        </w:rPr>
        <w:footnoteReference w:id="75"/>
      </w:r>
      <w:r w:rsidR="00E508B6" w:rsidRPr="00E508B6">
        <w:rPr>
          <w:rFonts w:ascii="Arial" w:hAnsi="Arial" w:cs="Arial"/>
        </w:rPr>
        <w:t>.</w:t>
      </w:r>
      <w:r w:rsidR="00AF3A55">
        <w:rPr>
          <w:rFonts w:ascii="Arial" w:hAnsi="Arial" w:cs="Arial"/>
        </w:rPr>
        <w:t xml:space="preserve"> Así pues, la falta de adaptación de la regulación de los ordenamientos jurídicos exige un examen, a nivel europeo, de las posibilidades que ofrece la configuración de los ajustes razonables como mecanismo para el mantenimiento del empleo, y en consecuencia, como óbice a la libre extinción de contratos de personas con discapacidad. </w:t>
      </w:r>
    </w:p>
    <w:p w:rsidR="007C4C7F" w:rsidRDefault="0059714D" w:rsidP="00E62DCA">
      <w:pPr>
        <w:spacing w:after="0" w:line="360" w:lineRule="auto"/>
        <w:ind w:firstLine="708"/>
        <w:jc w:val="both"/>
        <w:rPr>
          <w:rFonts w:ascii="Arial" w:hAnsi="Arial" w:cs="Arial"/>
        </w:rPr>
      </w:pPr>
      <w:r>
        <w:rPr>
          <w:rFonts w:ascii="Arial" w:hAnsi="Arial" w:cs="Arial"/>
        </w:rPr>
        <w:t>Y lo cierto es que la Convención y la Directiva</w:t>
      </w:r>
      <w:r w:rsidR="00647099">
        <w:rPr>
          <w:rFonts w:ascii="Arial" w:hAnsi="Arial" w:cs="Arial"/>
        </w:rPr>
        <w:t xml:space="preserve"> 2000/78</w:t>
      </w:r>
      <w:r>
        <w:rPr>
          <w:rFonts w:ascii="Arial" w:hAnsi="Arial" w:cs="Arial"/>
        </w:rPr>
        <w:t xml:space="preserve"> permiten sostener </w:t>
      </w:r>
      <w:r w:rsidR="007C4C7F">
        <w:rPr>
          <w:rFonts w:ascii="Arial" w:hAnsi="Arial" w:cs="Arial"/>
        </w:rPr>
        <w:t xml:space="preserve">que </w:t>
      </w:r>
      <w:r>
        <w:rPr>
          <w:rFonts w:ascii="Arial" w:hAnsi="Arial" w:cs="Arial"/>
        </w:rPr>
        <w:t>la obligación de realizar ajustes razonab</w:t>
      </w:r>
      <w:r w:rsidR="003E5688">
        <w:rPr>
          <w:rFonts w:ascii="Arial" w:hAnsi="Arial" w:cs="Arial"/>
        </w:rPr>
        <w:t>les debe ser exigida</w:t>
      </w:r>
      <w:r w:rsidR="00647099">
        <w:rPr>
          <w:rFonts w:ascii="Arial" w:hAnsi="Arial" w:cs="Arial"/>
        </w:rPr>
        <w:t>, en aquellos supuestos en los que no se haya llevado a cabo, o revisada,</w:t>
      </w:r>
      <w:r w:rsidR="003E5688">
        <w:rPr>
          <w:rFonts w:ascii="Arial" w:hAnsi="Arial" w:cs="Arial"/>
        </w:rPr>
        <w:t xml:space="preserve"> como</w:t>
      </w:r>
      <w:r>
        <w:rPr>
          <w:rFonts w:ascii="Arial" w:hAnsi="Arial" w:cs="Arial"/>
        </w:rPr>
        <w:t xml:space="preserve"> una fase previa</w:t>
      </w:r>
      <w:r w:rsidR="007C4C7F">
        <w:rPr>
          <w:rFonts w:ascii="Arial" w:hAnsi="Arial" w:cs="Arial"/>
        </w:rPr>
        <w:t xml:space="preserve"> a </w:t>
      </w:r>
      <w:r>
        <w:rPr>
          <w:rFonts w:ascii="Arial" w:hAnsi="Arial" w:cs="Arial"/>
        </w:rPr>
        <w:t xml:space="preserve">la extinción de contratos de </w:t>
      </w:r>
      <w:r w:rsidR="007C4C7F">
        <w:rPr>
          <w:rFonts w:ascii="Arial" w:hAnsi="Arial" w:cs="Arial"/>
        </w:rPr>
        <w:t>personas con discapacidad.  En efecto, la C</w:t>
      </w:r>
      <w:r>
        <w:rPr>
          <w:rFonts w:ascii="Arial" w:hAnsi="Arial" w:cs="Arial"/>
        </w:rPr>
        <w:t>onvención</w:t>
      </w:r>
      <w:r w:rsidR="00C375BB">
        <w:rPr>
          <w:rFonts w:ascii="Arial" w:hAnsi="Arial" w:cs="Arial"/>
        </w:rPr>
        <w:t xml:space="preserve"> </w:t>
      </w:r>
      <w:r>
        <w:rPr>
          <w:rFonts w:ascii="Arial" w:hAnsi="Arial" w:cs="Arial"/>
        </w:rPr>
        <w:t>promueve, protege y asegura el derecho a trabajar en igualdad de condiciones</w:t>
      </w:r>
      <w:r>
        <w:rPr>
          <w:rStyle w:val="Refdenotaalpie"/>
          <w:rFonts w:ascii="Arial" w:hAnsi="Arial" w:cs="Arial"/>
        </w:rPr>
        <w:footnoteReference w:id="76"/>
      </w:r>
      <w:r>
        <w:rPr>
          <w:rFonts w:ascii="Arial" w:hAnsi="Arial" w:cs="Arial"/>
        </w:rPr>
        <w:t>. La concreción jurídica de la salvaguarda del derecho al trabajo corresponde a los Estados Parte, mediante la continuidad y el mantenimiento en el empleo, ambas previstas en el artículo 27.1 letra a) y letra e).</w:t>
      </w:r>
      <w:r w:rsidR="007C4C7F">
        <w:rPr>
          <w:rFonts w:ascii="Arial" w:hAnsi="Arial" w:cs="Arial"/>
        </w:rPr>
        <w:t xml:space="preserve"> Esta especificación, sumada al papel central otorgado por la Convención a los ajustes razonables, permite</w:t>
      </w:r>
      <w:r w:rsidR="00ED4C41">
        <w:rPr>
          <w:rFonts w:ascii="Arial" w:hAnsi="Arial" w:cs="Arial"/>
        </w:rPr>
        <w:t xml:space="preserve"> sostener</w:t>
      </w:r>
      <w:r w:rsidR="007C4C7F">
        <w:rPr>
          <w:rFonts w:ascii="Arial" w:hAnsi="Arial" w:cs="Arial"/>
        </w:rPr>
        <w:t xml:space="preserve"> la utilización de los ajustes razonables como mecanismo de mantenimiento del empleo</w:t>
      </w:r>
      <w:r w:rsidR="00ED4C41">
        <w:rPr>
          <w:rFonts w:ascii="Arial" w:hAnsi="Arial" w:cs="Arial"/>
        </w:rPr>
        <w:t xml:space="preserve">, ya no sólo por la existencia de barreras que dificultan enormemente el reingreso al mundo del trabajo de las personas con discapacidad, sino porque esta obligación garantiza el disfrute del derecho al trabajo en igualdad de condiciones. Así, la Convención integra esta medida como parte del derecho al trabajo de este colectivo, configurando así una protección </w:t>
      </w:r>
      <w:r w:rsidR="00ED4C41" w:rsidRPr="00B60AD9">
        <w:rPr>
          <w:rFonts w:ascii="Arial" w:hAnsi="Arial" w:cs="Arial"/>
          <w:i/>
        </w:rPr>
        <w:t>ex</w:t>
      </w:r>
      <w:r w:rsidR="00B60AD9" w:rsidRPr="00B60AD9">
        <w:rPr>
          <w:rFonts w:ascii="Arial" w:hAnsi="Arial" w:cs="Arial"/>
          <w:i/>
        </w:rPr>
        <w:t xml:space="preserve"> ante</w:t>
      </w:r>
      <w:r w:rsidR="00ED4C41">
        <w:rPr>
          <w:rFonts w:ascii="Arial" w:hAnsi="Arial" w:cs="Arial"/>
        </w:rPr>
        <w:t xml:space="preserve"> en aquellos supuestos en los que se </w:t>
      </w:r>
      <w:r w:rsidR="00ED4C41">
        <w:rPr>
          <w:rFonts w:ascii="Arial" w:hAnsi="Arial" w:cs="Arial"/>
        </w:rPr>
        <w:lastRenderedPageBreak/>
        <w:t>decida extinguir el contrato de una persona con discapacidad, so pena de considerar la decisión empresarial discriminatoria</w:t>
      </w:r>
      <w:r w:rsidR="00ED4C41">
        <w:rPr>
          <w:rStyle w:val="Refdenotaalpie"/>
          <w:rFonts w:ascii="Arial" w:hAnsi="Arial" w:cs="Arial"/>
        </w:rPr>
        <w:footnoteReference w:id="77"/>
      </w:r>
      <w:r w:rsidR="00ED4C41">
        <w:rPr>
          <w:rFonts w:ascii="Arial" w:hAnsi="Arial" w:cs="Arial"/>
        </w:rPr>
        <w:t xml:space="preserve">.  </w:t>
      </w:r>
    </w:p>
    <w:p w:rsidR="00416D0E" w:rsidRDefault="007C4C7F" w:rsidP="00E62DCA">
      <w:pPr>
        <w:spacing w:after="0" w:line="360" w:lineRule="auto"/>
        <w:ind w:firstLine="708"/>
        <w:jc w:val="both"/>
        <w:rPr>
          <w:rFonts w:ascii="Arial" w:hAnsi="Arial" w:cs="Arial"/>
        </w:rPr>
      </w:pPr>
      <w:r>
        <w:rPr>
          <w:rFonts w:ascii="Arial" w:hAnsi="Arial" w:cs="Arial"/>
        </w:rPr>
        <w:t xml:space="preserve">No obstante, </w:t>
      </w:r>
      <w:r w:rsidR="00B60AD9">
        <w:rPr>
          <w:rFonts w:ascii="Arial" w:hAnsi="Arial" w:cs="Arial"/>
        </w:rPr>
        <w:t>la Directiva</w:t>
      </w:r>
      <w:r w:rsidR="00C375BB">
        <w:rPr>
          <w:rFonts w:ascii="Arial" w:hAnsi="Arial" w:cs="Arial"/>
        </w:rPr>
        <w:t xml:space="preserve"> </w:t>
      </w:r>
      <w:r w:rsidR="00B60AD9">
        <w:rPr>
          <w:rFonts w:ascii="Arial" w:hAnsi="Arial" w:cs="Arial"/>
        </w:rPr>
        <w:t xml:space="preserve">caracteriza </w:t>
      </w:r>
      <w:r w:rsidR="00E62DCA">
        <w:rPr>
          <w:rFonts w:ascii="Arial" w:hAnsi="Arial" w:cs="Arial"/>
        </w:rPr>
        <w:t xml:space="preserve">los ajustes razonables </w:t>
      </w:r>
      <w:r w:rsidR="00B60AD9">
        <w:rPr>
          <w:rFonts w:ascii="Arial" w:hAnsi="Arial" w:cs="Arial"/>
        </w:rPr>
        <w:t xml:space="preserve">como </w:t>
      </w:r>
      <w:r w:rsidR="00E62DCA">
        <w:rPr>
          <w:rFonts w:ascii="Arial" w:hAnsi="Arial" w:cs="Arial"/>
        </w:rPr>
        <w:t>medidas adecuadas para permitir el acceso al empleo o tomar parte en el mismo, entre otros.</w:t>
      </w:r>
      <w:r w:rsidR="00B60AD9">
        <w:rPr>
          <w:rFonts w:ascii="Arial" w:hAnsi="Arial" w:cs="Arial"/>
        </w:rPr>
        <w:t xml:space="preserve"> </w:t>
      </w:r>
      <w:proofErr w:type="spellStart"/>
      <w:r w:rsidR="00B60AD9">
        <w:rPr>
          <w:rFonts w:ascii="Arial" w:hAnsi="Arial" w:cs="Arial"/>
        </w:rPr>
        <w:t>Así</w:t>
      </w:r>
      <w:proofErr w:type="gramStart"/>
      <w:r w:rsidR="00B60AD9">
        <w:rPr>
          <w:rFonts w:ascii="Arial" w:hAnsi="Arial" w:cs="Arial"/>
        </w:rPr>
        <w:t>,e</w:t>
      </w:r>
      <w:r>
        <w:rPr>
          <w:rFonts w:ascii="Arial" w:hAnsi="Arial" w:cs="Arial"/>
        </w:rPr>
        <w:t>l</w:t>
      </w:r>
      <w:proofErr w:type="spellEnd"/>
      <w:proofErr w:type="gramEnd"/>
      <w:r>
        <w:rPr>
          <w:rFonts w:ascii="Arial" w:hAnsi="Arial" w:cs="Arial"/>
        </w:rPr>
        <w:t xml:space="preserve"> ámbito objetivo de la obligación definido por la Directiva no incluye</w:t>
      </w:r>
      <w:r w:rsidR="0032279A">
        <w:rPr>
          <w:rFonts w:ascii="Arial" w:hAnsi="Arial" w:cs="Arial"/>
        </w:rPr>
        <w:t xml:space="preserve"> referencias a la posibilidad de aplicar esta medida en el marco de extinciones y/o a</w:t>
      </w:r>
      <w:r>
        <w:rPr>
          <w:rFonts w:ascii="Arial" w:hAnsi="Arial" w:cs="Arial"/>
        </w:rPr>
        <w:t xml:space="preserve">l mantenimiento del empleo. Este </w:t>
      </w:r>
      <w:r w:rsidR="00647099">
        <w:rPr>
          <w:rFonts w:ascii="Arial" w:hAnsi="Arial" w:cs="Arial"/>
        </w:rPr>
        <w:t>podría ser considerado un</w:t>
      </w:r>
      <w:r>
        <w:rPr>
          <w:rFonts w:ascii="Arial" w:hAnsi="Arial" w:cs="Arial"/>
        </w:rPr>
        <w:t xml:space="preserve"> obstáculo a la exigencia de realizar ajustes razonables de forma previa a la extinción de un contrato de trabajo. </w:t>
      </w:r>
      <w:r w:rsidR="008959F5">
        <w:rPr>
          <w:rFonts w:ascii="Arial" w:hAnsi="Arial" w:cs="Arial"/>
        </w:rPr>
        <w:t>Sin embargo,</w:t>
      </w:r>
      <w:r w:rsidR="00E94BD3">
        <w:rPr>
          <w:rFonts w:ascii="Arial" w:hAnsi="Arial" w:cs="Arial"/>
        </w:rPr>
        <w:t xml:space="preserve"> existen dos argumentos que permiten salvar este obstáculo: a) la relación de complementariedad existente entre el artículo 3 y 5 Directiva 2000/78, y b)</w:t>
      </w:r>
      <w:r w:rsidR="008959F5">
        <w:rPr>
          <w:rFonts w:ascii="Arial" w:hAnsi="Arial" w:cs="Arial"/>
        </w:rPr>
        <w:t xml:space="preserve"> la</w:t>
      </w:r>
      <w:r w:rsidR="000A789A">
        <w:rPr>
          <w:rFonts w:ascii="Arial" w:hAnsi="Arial" w:cs="Arial"/>
        </w:rPr>
        <w:t xml:space="preserve"> caracterización expansiva</w:t>
      </w:r>
      <w:r w:rsidR="0032279A">
        <w:rPr>
          <w:rFonts w:ascii="Arial" w:hAnsi="Arial" w:cs="Arial"/>
        </w:rPr>
        <w:t xml:space="preserve"> de los ajustes razonables</w:t>
      </w:r>
      <w:r w:rsidR="000A789A">
        <w:rPr>
          <w:rFonts w:ascii="Arial" w:hAnsi="Arial" w:cs="Arial"/>
        </w:rPr>
        <w:t xml:space="preserve"> que ha plasmado la</w:t>
      </w:r>
      <w:r w:rsidR="008959F5">
        <w:rPr>
          <w:rFonts w:ascii="Arial" w:hAnsi="Arial" w:cs="Arial"/>
        </w:rPr>
        <w:t xml:space="preserve"> jurisprudencia del TJ</w:t>
      </w:r>
      <w:r w:rsidR="0032279A">
        <w:rPr>
          <w:rFonts w:ascii="Arial" w:hAnsi="Arial" w:cs="Arial"/>
        </w:rPr>
        <w:t>UE</w:t>
      </w:r>
      <w:r w:rsidR="008959F5">
        <w:rPr>
          <w:rFonts w:ascii="Arial" w:hAnsi="Arial" w:cs="Arial"/>
        </w:rPr>
        <w:t xml:space="preserve">. </w:t>
      </w:r>
    </w:p>
    <w:p w:rsidR="0032279A" w:rsidRDefault="0032279A" w:rsidP="0032279A">
      <w:pPr>
        <w:spacing w:after="0" w:line="360" w:lineRule="auto"/>
        <w:ind w:firstLine="708"/>
        <w:jc w:val="both"/>
        <w:rPr>
          <w:rFonts w:ascii="Arial" w:hAnsi="Arial" w:cs="Arial"/>
        </w:rPr>
      </w:pPr>
      <w:r>
        <w:rPr>
          <w:rFonts w:ascii="Arial" w:hAnsi="Arial" w:cs="Arial"/>
        </w:rPr>
        <w:t>En primer lugar, el artículo 5 Directiva 2000/78 no incluye las extinciones como ámbito objetivo en el que pueden efectuarse ajustes razonables. Sin embargo, si examinamos el artículo 3 de la Directiva 2000/78, relativo al ámbito de aplicación, podemos observar que incluye ámbitos sobre los que el artículo 5 Directiva 2000/78 no se pronuncia, y entre ellos, las extinciones</w:t>
      </w:r>
      <w:r>
        <w:rPr>
          <w:rStyle w:val="Refdenotaalpie"/>
          <w:rFonts w:ascii="Arial" w:hAnsi="Arial" w:cs="Arial"/>
        </w:rPr>
        <w:footnoteReference w:id="78"/>
      </w:r>
      <w:r>
        <w:rPr>
          <w:rFonts w:ascii="Arial" w:hAnsi="Arial" w:cs="Arial"/>
        </w:rPr>
        <w:t xml:space="preserve">. Así pues, ¿qué relación existe entre estos dos preceptos? Como punto de partida, conviene destacar que el artículo 5 Directiva 2000/78 caracteriza la obligación de realizar ajustes razonables, y a priori, parecería que el artículo 3 Directiva 2000/78 no jugaría un papel especialmente importante. Ahora bien, el mencionado artículo 3 se encarga de definir el ámbito de aplicación de la Directiva 2000/78, y de hecho, va más allá que el propio artículo 5 al prever, por ejemplo, referencias al sector público y privado, la actividad por cuenta propia y ejercicio profesional, criterios de selección y condiciones de contratación, entre otros.  En </w:t>
      </w:r>
      <w:proofErr w:type="spellStart"/>
      <w:r>
        <w:rPr>
          <w:rFonts w:ascii="Arial" w:hAnsi="Arial" w:cs="Arial"/>
        </w:rPr>
        <w:t>consecuencia</w:t>
      </w:r>
      <w:proofErr w:type="gramStart"/>
      <w:r>
        <w:rPr>
          <w:rFonts w:ascii="Arial" w:hAnsi="Arial" w:cs="Arial"/>
        </w:rPr>
        <w:t>,el</w:t>
      </w:r>
      <w:proofErr w:type="spellEnd"/>
      <w:proofErr w:type="gramEnd"/>
      <w:r>
        <w:rPr>
          <w:rFonts w:ascii="Arial" w:hAnsi="Arial" w:cs="Arial"/>
        </w:rPr>
        <w:t xml:space="preserve"> ámbito objetivo de la obligación de realizar ajustes razonables no puede interpretarse únicamente </w:t>
      </w:r>
      <w:r>
        <w:rPr>
          <w:rFonts w:ascii="Arial" w:hAnsi="Arial" w:cs="Arial"/>
          <w:i/>
        </w:rPr>
        <w:t>ex</w:t>
      </w:r>
      <w:r>
        <w:rPr>
          <w:rFonts w:ascii="Arial" w:hAnsi="Arial" w:cs="Arial"/>
        </w:rPr>
        <w:t xml:space="preserve"> artículo 5 Directiva 2000/78, pues el artículo 3 Directiva 2000/78 extiende sus efectos a aspectos que, a priori, no aparecen explícitamente en el mencionado artículo 5 Directiva 2000/78. Existe, pues, una relación de complementariedad entre ambos preceptos que expande los efectos del principio de igualdad de trato a diferentes ámbitos. De esta manera, la previsión de examinar la realización de ajustes razonables como control previo a la extinción de personas con discapacidad estaría amparada por el ámbito objetivo de aplicación del artículo 3 Directiva </w:t>
      </w:r>
      <w:r>
        <w:rPr>
          <w:rFonts w:ascii="Arial" w:hAnsi="Arial" w:cs="Arial"/>
        </w:rPr>
        <w:lastRenderedPageBreak/>
        <w:t>2000/78</w:t>
      </w:r>
      <w:r w:rsidR="00604C9C">
        <w:rPr>
          <w:rFonts w:ascii="Arial" w:hAnsi="Arial" w:cs="Arial"/>
        </w:rPr>
        <w:t xml:space="preserve">, que amplía las posibilidades de actuación que ofrece el artículo 5 Directiva 2000/78.  </w:t>
      </w:r>
    </w:p>
    <w:p w:rsidR="00604C9C" w:rsidRDefault="0032279A" w:rsidP="00E62DCA">
      <w:pPr>
        <w:spacing w:after="0" w:line="360" w:lineRule="auto"/>
        <w:ind w:firstLine="708"/>
        <w:jc w:val="both"/>
        <w:rPr>
          <w:rFonts w:ascii="Arial" w:hAnsi="Arial" w:cs="Arial"/>
        </w:rPr>
      </w:pPr>
      <w:r>
        <w:rPr>
          <w:rFonts w:ascii="Arial" w:hAnsi="Arial" w:cs="Arial"/>
        </w:rPr>
        <w:t>A este primer argumento de base legal, debe sumársele un segundo</w:t>
      </w:r>
      <w:r w:rsidR="00604C9C">
        <w:rPr>
          <w:rFonts w:ascii="Arial" w:hAnsi="Arial" w:cs="Arial"/>
        </w:rPr>
        <w:t xml:space="preserve"> razonamiento</w:t>
      </w:r>
      <w:r>
        <w:rPr>
          <w:rFonts w:ascii="Arial" w:hAnsi="Arial" w:cs="Arial"/>
        </w:rPr>
        <w:t xml:space="preserve"> de carácter interpretativo</w:t>
      </w:r>
      <w:r w:rsidR="00604C9C">
        <w:rPr>
          <w:rFonts w:ascii="Arial" w:hAnsi="Arial" w:cs="Arial"/>
        </w:rPr>
        <w:t>, fundado en la interpretación expansiva de los ajustes razonables que ha plasmado el Tribunal de Justicia de la Unión Europea</w:t>
      </w:r>
      <w:r>
        <w:rPr>
          <w:rFonts w:ascii="Arial" w:hAnsi="Arial" w:cs="Arial"/>
        </w:rPr>
        <w:t xml:space="preserve">. </w:t>
      </w:r>
      <w:r w:rsidR="00604C9C">
        <w:rPr>
          <w:rFonts w:ascii="Arial" w:hAnsi="Arial" w:cs="Arial"/>
        </w:rPr>
        <w:t xml:space="preserve">En este sentido, la sentencia HK </w:t>
      </w:r>
      <w:proofErr w:type="spellStart"/>
      <w:r w:rsidR="00604C9C">
        <w:rPr>
          <w:rFonts w:ascii="Arial" w:hAnsi="Arial" w:cs="Arial"/>
        </w:rPr>
        <w:t>Danmark</w:t>
      </w:r>
      <w:proofErr w:type="spellEnd"/>
      <w:r w:rsidR="00604C9C">
        <w:rPr>
          <w:rFonts w:ascii="Arial" w:hAnsi="Arial" w:cs="Arial"/>
        </w:rPr>
        <w:t xml:space="preserve"> dejó claro que</w:t>
      </w:r>
      <w:r w:rsidR="008959F5">
        <w:rPr>
          <w:rFonts w:ascii="Arial" w:hAnsi="Arial" w:cs="Arial"/>
        </w:rPr>
        <w:t xml:space="preserve"> la Directiva </w:t>
      </w:r>
      <w:r w:rsidR="00B60AD9">
        <w:rPr>
          <w:rFonts w:ascii="Arial" w:hAnsi="Arial" w:cs="Arial"/>
        </w:rPr>
        <w:t>debe ser interpretada a la luz de la Convención</w:t>
      </w:r>
      <w:r w:rsidR="00B60AD9">
        <w:rPr>
          <w:rStyle w:val="Refdenotaalpie"/>
          <w:rFonts w:ascii="Arial" w:hAnsi="Arial" w:cs="Arial"/>
        </w:rPr>
        <w:footnoteReference w:id="79"/>
      </w:r>
      <w:r w:rsidR="00B60AD9">
        <w:rPr>
          <w:rFonts w:ascii="Arial" w:hAnsi="Arial" w:cs="Arial"/>
        </w:rPr>
        <w:t>,</w:t>
      </w:r>
      <w:r w:rsidR="000A789A">
        <w:rPr>
          <w:rFonts w:ascii="Arial" w:hAnsi="Arial" w:cs="Arial"/>
        </w:rPr>
        <w:t xml:space="preserve"> y eso se traduce en una lectura protectora del derecho al trabajo d</w:t>
      </w:r>
      <w:r w:rsidR="00604C9C">
        <w:rPr>
          <w:rFonts w:ascii="Arial" w:hAnsi="Arial" w:cs="Arial"/>
        </w:rPr>
        <w:t xml:space="preserve">e este colectivo. La importancia que asume la Convención repercute en el refuerzo del derecho del trabajo, que desde la ratificación de este instrumento internacional pivota necesariamente </w:t>
      </w:r>
      <w:r w:rsidR="000A789A">
        <w:rPr>
          <w:rFonts w:ascii="Arial" w:hAnsi="Arial" w:cs="Arial"/>
        </w:rPr>
        <w:t>sobre los ajustes razonables como centro de gravedad.</w:t>
      </w:r>
    </w:p>
    <w:p w:rsidR="00616BBF" w:rsidRPr="002325D2" w:rsidRDefault="000A789A" w:rsidP="002325D2">
      <w:pPr>
        <w:spacing w:after="0" w:line="360" w:lineRule="auto"/>
        <w:jc w:val="both"/>
        <w:rPr>
          <w:rFonts w:ascii="Arial" w:hAnsi="Arial" w:cs="Arial"/>
        </w:rPr>
      </w:pPr>
      <w:r>
        <w:rPr>
          <w:rFonts w:ascii="Arial" w:hAnsi="Arial" w:cs="Arial"/>
        </w:rPr>
        <w:t>Además, la</w:t>
      </w:r>
      <w:r w:rsidR="001D7511">
        <w:rPr>
          <w:rFonts w:ascii="Arial" w:hAnsi="Arial" w:cs="Arial"/>
        </w:rPr>
        <w:t xml:space="preserve"> amplia</w:t>
      </w:r>
      <w:r>
        <w:rPr>
          <w:rFonts w:ascii="Arial" w:hAnsi="Arial" w:cs="Arial"/>
        </w:rPr>
        <w:t xml:space="preserve"> visi</w:t>
      </w:r>
      <w:r w:rsidR="001D7511">
        <w:rPr>
          <w:rFonts w:ascii="Arial" w:hAnsi="Arial" w:cs="Arial"/>
        </w:rPr>
        <w:t xml:space="preserve">ón </w:t>
      </w:r>
      <w:r>
        <w:rPr>
          <w:rFonts w:ascii="Arial" w:hAnsi="Arial" w:cs="Arial"/>
        </w:rPr>
        <w:t xml:space="preserve">de los ajustes razonables defendida en el marco de la sentencia HK </w:t>
      </w:r>
      <w:proofErr w:type="spellStart"/>
      <w:r>
        <w:rPr>
          <w:rFonts w:ascii="Arial" w:hAnsi="Arial" w:cs="Arial"/>
        </w:rPr>
        <w:t>Danmark</w:t>
      </w:r>
      <w:proofErr w:type="spellEnd"/>
      <w:r w:rsidR="001D7511">
        <w:rPr>
          <w:rStyle w:val="Refdenotaalpie"/>
          <w:rFonts w:ascii="Arial" w:hAnsi="Arial" w:cs="Arial"/>
        </w:rPr>
        <w:footnoteReference w:id="80"/>
      </w:r>
      <w:r w:rsidR="001D7511">
        <w:rPr>
          <w:rFonts w:ascii="Arial" w:hAnsi="Arial" w:cs="Arial"/>
        </w:rPr>
        <w:t>,</w:t>
      </w:r>
      <w:r w:rsidR="00C375BB">
        <w:rPr>
          <w:rFonts w:ascii="Arial" w:hAnsi="Arial" w:cs="Arial"/>
        </w:rPr>
        <w:t xml:space="preserve"> </w:t>
      </w:r>
      <w:r>
        <w:rPr>
          <w:rFonts w:ascii="Arial" w:hAnsi="Arial" w:cs="Arial"/>
        </w:rPr>
        <w:t xml:space="preserve">reafirma </w:t>
      </w:r>
      <w:r w:rsidR="00604C9C">
        <w:rPr>
          <w:rFonts w:ascii="Arial" w:hAnsi="Arial" w:cs="Arial"/>
        </w:rPr>
        <w:t xml:space="preserve">esta obligación como control previo </w:t>
      </w:r>
      <w:r w:rsidR="001D7511">
        <w:rPr>
          <w:rFonts w:ascii="Arial" w:hAnsi="Arial" w:cs="Arial"/>
        </w:rPr>
        <w:t>a la extinción del contrato</w:t>
      </w:r>
      <w:r w:rsidR="00D7028E">
        <w:rPr>
          <w:rFonts w:ascii="Arial" w:hAnsi="Arial" w:cs="Arial"/>
        </w:rPr>
        <w:t xml:space="preserve"> de trabajo, </w:t>
      </w:r>
      <w:r w:rsidR="00CE2E0C">
        <w:rPr>
          <w:rFonts w:ascii="Arial" w:hAnsi="Arial" w:cs="Arial"/>
        </w:rPr>
        <w:t xml:space="preserve">aún a pesar del contenido del considerando 17 de la Directiva 2000/78. En efecto, el considerando 17 de la Directiva impide el mantenimiento de una persona no competente o capacitada en un puesto de trabajo, pero </w:t>
      </w:r>
      <w:r w:rsidR="006E1980">
        <w:rPr>
          <w:rFonts w:ascii="Arial" w:hAnsi="Arial" w:cs="Arial"/>
        </w:rPr>
        <w:t xml:space="preserve">la sentencia HK </w:t>
      </w:r>
      <w:proofErr w:type="spellStart"/>
      <w:r w:rsidR="006E1980">
        <w:rPr>
          <w:rFonts w:ascii="Arial" w:hAnsi="Arial" w:cs="Arial"/>
        </w:rPr>
        <w:t>Danmark</w:t>
      </w:r>
      <w:proofErr w:type="spellEnd"/>
      <w:r w:rsidR="00D1734C">
        <w:rPr>
          <w:rFonts w:ascii="Arial" w:hAnsi="Arial" w:cs="Arial"/>
        </w:rPr>
        <w:t xml:space="preserve"> y sus conclusiones</w:t>
      </w:r>
      <w:r w:rsidR="006E1980">
        <w:rPr>
          <w:rFonts w:ascii="Arial" w:hAnsi="Arial" w:cs="Arial"/>
        </w:rPr>
        <w:t xml:space="preserve"> abraza</w:t>
      </w:r>
      <w:r w:rsidR="00D1734C">
        <w:rPr>
          <w:rFonts w:ascii="Arial" w:hAnsi="Arial" w:cs="Arial"/>
        </w:rPr>
        <w:t>n</w:t>
      </w:r>
      <w:r w:rsidR="006E1980">
        <w:rPr>
          <w:rFonts w:ascii="Arial" w:hAnsi="Arial" w:cs="Arial"/>
        </w:rPr>
        <w:t xml:space="preserve"> la posibilidad de que los ajustes razonables se produzcan con el objetivo de mantener el empleo</w:t>
      </w:r>
      <w:r w:rsidR="00D1734C">
        <w:rPr>
          <w:rStyle w:val="Refdenotaalpie"/>
          <w:rFonts w:ascii="Arial" w:hAnsi="Arial" w:cs="Arial"/>
        </w:rPr>
        <w:footnoteReference w:id="81"/>
      </w:r>
      <w:r w:rsidR="006E1980">
        <w:rPr>
          <w:rFonts w:ascii="Arial" w:hAnsi="Arial" w:cs="Arial"/>
        </w:rPr>
        <w:t>, pues, al igual que el considerando 20</w:t>
      </w:r>
      <w:r w:rsidR="00416D0E">
        <w:rPr>
          <w:rFonts w:ascii="Arial" w:hAnsi="Arial" w:cs="Arial"/>
        </w:rPr>
        <w:t xml:space="preserve"> de la Dir</w:t>
      </w:r>
      <w:r w:rsidR="006E1980">
        <w:rPr>
          <w:rFonts w:ascii="Arial" w:hAnsi="Arial" w:cs="Arial"/>
        </w:rPr>
        <w:t>ectiva 2000/78, los ámbitos definidos en el artículo 5 de la Directiva 2000/78 no</w:t>
      </w:r>
      <w:r w:rsidR="00D1734C">
        <w:rPr>
          <w:rFonts w:ascii="Arial" w:hAnsi="Arial" w:cs="Arial"/>
        </w:rPr>
        <w:t xml:space="preserve"> pueden ser interpretados de forma </w:t>
      </w:r>
      <w:r w:rsidR="006E1980">
        <w:rPr>
          <w:rFonts w:ascii="Arial" w:hAnsi="Arial" w:cs="Arial"/>
        </w:rPr>
        <w:t>exhaustiv</w:t>
      </w:r>
      <w:r w:rsidR="00D1734C">
        <w:rPr>
          <w:rFonts w:ascii="Arial" w:hAnsi="Arial" w:cs="Arial"/>
        </w:rPr>
        <w:t xml:space="preserve">a. El cumplimiento de la </w:t>
      </w:r>
      <w:proofErr w:type="spellStart"/>
      <w:r w:rsidR="00D1734C">
        <w:rPr>
          <w:rFonts w:ascii="Arial" w:hAnsi="Arial" w:cs="Arial"/>
          <w:i/>
        </w:rPr>
        <w:t>voluntas</w:t>
      </w:r>
      <w:proofErr w:type="spellEnd"/>
      <w:r w:rsidR="00C375BB">
        <w:rPr>
          <w:rFonts w:ascii="Arial" w:hAnsi="Arial" w:cs="Arial"/>
          <w:i/>
        </w:rPr>
        <w:t xml:space="preserve"> </w:t>
      </w:r>
      <w:proofErr w:type="spellStart"/>
      <w:r w:rsidR="00D1734C">
        <w:rPr>
          <w:rFonts w:ascii="Arial" w:hAnsi="Arial" w:cs="Arial"/>
          <w:i/>
        </w:rPr>
        <w:t>legislatoris</w:t>
      </w:r>
      <w:proofErr w:type="spellEnd"/>
      <w:r w:rsidR="00D1734C">
        <w:rPr>
          <w:rFonts w:ascii="Arial" w:hAnsi="Arial" w:cs="Arial"/>
        </w:rPr>
        <w:t xml:space="preserve"> europea exige una interpretación</w:t>
      </w:r>
      <w:r w:rsidR="006E1980">
        <w:rPr>
          <w:rFonts w:ascii="Arial" w:hAnsi="Arial" w:cs="Arial"/>
        </w:rPr>
        <w:t xml:space="preserve"> expansiva</w:t>
      </w:r>
      <w:r w:rsidR="00D1734C">
        <w:rPr>
          <w:rFonts w:ascii="Arial" w:hAnsi="Arial" w:cs="Arial"/>
        </w:rPr>
        <w:t xml:space="preserve">, </w:t>
      </w:r>
      <w:r w:rsidR="006E1980">
        <w:rPr>
          <w:rFonts w:ascii="Arial" w:hAnsi="Arial" w:cs="Arial"/>
        </w:rPr>
        <w:t>a fin de</w:t>
      </w:r>
      <w:r w:rsidR="00755576">
        <w:rPr>
          <w:rFonts w:ascii="Arial" w:hAnsi="Arial" w:cs="Arial"/>
        </w:rPr>
        <w:t xml:space="preserve"> garantizar el derecho al trabajo de las personas con discapacidad, incluyendo ineludiblemente el mantenimiento del empleo como manifestación de la pretensión del ejercicio de una profesión. En mi opinión, una interpretación que no incluya el mantenimiento del empleo como finalidad de los ajustes razonables </w:t>
      </w:r>
      <w:r w:rsidR="00822B22">
        <w:rPr>
          <w:rFonts w:ascii="Arial" w:hAnsi="Arial" w:cs="Arial"/>
        </w:rPr>
        <w:t>vacía</w:t>
      </w:r>
      <w:r w:rsidR="00755576">
        <w:rPr>
          <w:rFonts w:ascii="Arial" w:hAnsi="Arial" w:cs="Arial"/>
        </w:rPr>
        <w:t xml:space="preserve"> parcialmente </w:t>
      </w:r>
      <w:r w:rsidR="00010D43">
        <w:rPr>
          <w:rFonts w:ascii="Arial" w:hAnsi="Arial" w:cs="Arial"/>
        </w:rPr>
        <w:t xml:space="preserve">el contenido de esta obligación, pues el propósito principal de la misma es la participación de las personas con discapacidad en la vida </w:t>
      </w:r>
      <w:r w:rsidR="00416D0E">
        <w:rPr>
          <w:rFonts w:ascii="Arial" w:hAnsi="Arial" w:cs="Arial"/>
        </w:rPr>
        <w:t>profesional, y</w:t>
      </w:r>
      <w:r w:rsidR="005103EA">
        <w:rPr>
          <w:rFonts w:ascii="Arial" w:hAnsi="Arial" w:cs="Arial"/>
        </w:rPr>
        <w:t xml:space="preserve"> ello incluye el mantenimiento en el puesto de trabajo, especialmente ante las dificultades de inserción que presenta este colectivo</w:t>
      </w:r>
      <w:r w:rsidR="00010D43">
        <w:rPr>
          <w:rFonts w:ascii="Arial" w:hAnsi="Arial" w:cs="Arial"/>
        </w:rPr>
        <w:t>.</w:t>
      </w:r>
    </w:p>
    <w:sectPr w:rsidR="00616BBF" w:rsidRPr="002325D2" w:rsidSect="002C0D43">
      <w:footerReference w:type="even" r:id="rId8"/>
      <w:footerReference w:type="default" r:id="rId9"/>
      <w:pgSz w:w="11906" w:h="16838"/>
      <w:pgMar w:top="1417" w:right="1558"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EFC" w:rsidRDefault="00762EFC">
      <w:r>
        <w:separator/>
      </w:r>
    </w:p>
  </w:endnote>
  <w:endnote w:type="continuationSeparator" w:id="1">
    <w:p w:rsidR="00762EFC" w:rsidRDefault="00762E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13" w:rsidRDefault="00C269D1" w:rsidP="0039647F">
    <w:pPr>
      <w:pStyle w:val="Piedepgina"/>
      <w:framePr w:wrap="around" w:vAnchor="text" w:hAnchor="margin" w:xAlign="right" w:y="1"/>
      <w:rPr>
        <w:rStyle w:val="Nmerodepgina"/>
      </w:rPr>
    </w:pPr>
    <w:r>
      <w:rPr>
        <w:rStyle w:val="Nmerodepgina"/>
      </w:rPr>
      <w:fldChar w:fldCharType="begin"/>
    </w:r>
    <w:r w:rsidR="00B67B13">
      <w:rPr>
        <w:rStyle w:val="Nmerodepgina"/>
      </w:rPr>
      <w:instrText xml:space="preserve">PAGE  </w:instrText>
    </w:r>
    <w:r>
      <w:rPr>
        <w:rStyle w:val="Nmerodepgina"/>
      </w:rPr>
      <w:fldChar w:fldCharType="end"/>
    </w:r>
  </w:p>
  <w:p w:rsidR="00B67B13" w:rsidRDefault="00B67B13" w:rsidP="00EA68A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13" w:rsidRDefault="00C269D1" w:rsidP="0039647F">
    <w:pPr>
      <w:pStyle w:val="Piedepgina"/>
      <w:framePr w:wrap="around" w:vAnchor="text" w:hAnchor="margin" w:xAlign="right" w:y="1"/>
      <w:rPr>
        <w:rStyle w:val="Nmerodepgina"/>
      </w:rPr>
    </w:pPr>
    <w:r>
      <w:rPr>
        <w:rStyle w:val="Nmerodepgina"/>
      </w:rPr>
      <w:fldChar w:fldCharType="begin"/>
    </w:r>
    <w:r w:rsidR="00B67B13">
      <w:rPr>
        <w:rStyle w:val="Nmerodepgina"/>
      </w:rPr>
      <w:instrText xml:space="preserve">PAGE  </w:instrText>
    </w:r>
    <w:r>
      <w:rPr>
        <w:rStyle w:val="Nmerodepgina"/>
      </w:rPr>
      <w:fldChar w:fldCharType="separate"/>
    </w:r>
    <w:r w:rsidR="002B3D81">
      <w:rPr>
        <w:rStyle w:val="Nmerodepgina"/>
        <w:noProof/>
      </w:rPr>
      <w:t>1</w:t>
    </w:r>
    <w:r>
      <w:rPr>
        <w:rStyle w:val="Nmerodepgina"/>
      </w:rPr>
      <w:fldChar w:fldCharType="end"/>
    </w:r>
  </w:p>
  <w:p w:rsidR="00B67B13" w:rsidRDefault="00B67B13" w:rsidP="00EA68A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EFC" w:rsidRDefault="00762EFC" w:rsidP="003438E9">
      <w:pPr>
        <w:spacing w:after="0" w:line="240" w:lineRule="auto"/>
      </w:pPr>
      <w:r>
        <w:separator/>
      </w:r>
    </w:p>
  </w:footnote>
  <w:footnote w:type="continuationSeparator" w:id="1">
    <w:p w:rsidR="00762EFC" w:rsidRDefault="00762EFC" w:rsidP="003438E9">
      <w:pPr>
        <w:spacing w:after="0" w:line="240" w:lineRule="auto"/>
      </w:pPr>
      <w:r>
        <w:continuationSeparator/>
      </w:r>
    </w:p>
  </w:footnote>
  <w:footnote w:type="continuationNotice" w:id="2">
    <w:p w:rsidR="00762EFC" w:rsidRDefault="00762EFC">
      <w:pPr>
        <w:spacing w:after="0" w:line="240" w:lineRule="auto"/>
      </w:pPr>
    </w:p>
  </w:footnote>
  <w:footnote w:id="3">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Esta comunicación se ha realizado en el marco de una ayuda concedida por el Ministerio de Educación, Cultura y Deporte para realizar una estancia breve en el centro de in</w:t>
      </w:r>
      <w:r>
        <w:rPr>
          <w:rFonts w:cs="Calibri"/>
        </w:rPr>
        <w:t xml:space="preserve">vestigación Maastricht Centre </w:t>
      </w:r>
      <w:proofErr w:type="spellStart"/>
      <w:r>
        <w:rPr>
          <w:rFonts w:cs="Calibri"/>
        </w:rPr>
        <w:t>for</w:t>
      </w:r>
      <w:r w:rsidRPr="00FF6FB0">
        <w:rPr>
          <w:rFonts w:cs="Calibri"/>
        </w:rPr>
        <w:t>EuropeanLaw</w:t>
      </w:r>
      <w:proofErr w:type="spellEnd"/>
      <w:r w:rsidRPr="00FF6FB0">
        <w:rPr>
          <w:rFonts w:cs="Calibri"/>
        </w:rPr>
        <w:t xml:space="preserve"> (MCEL), adscrito a la Universidad de Maastricht, desarrollada los meses de septiembre a diciembre 2016, bajo la inestimable dirección de la Prof. Lisa </w:t>
      </w:r>
      <w:proofErr w:type="spellStart"/>
      <w:r w:rsidRPr="00FF6FB0">
        <w:rPr>
          <w:rFonts w:cs="Calibri"/>
        </w:rPr>
        <w:t>Waddington</w:t>
      </w:r>
      <w:proofErr w:type="spellEnd"/>
      <w:r w:rsidRPr="00FF6FB0">
        <w:rPr>
          <w:rFonts w:cs="Calibri"/>
        </w:rPr>
        <w:t xml:space="preserve">.  </w:t>
      </w:r>
    </w:p>
  </w:footnote>
  <w:footnote w:id="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Para un análisis en profundidad sobre el modelo social, véase PALACIOS, A., </w:t>
      </w:r>
      <w:r w:rsidRPr="00FF6FB0">
        <w:rPr>
          <w:rFonts w:cs="Calibri"/>
          <w:i/>
        </w:rPr>
        <w:t>El modelo social de la discapacidad: orígenes, caracterización y plasmación en la Convención Internacional sobre los Derechos de las Personas con Discapacidad</w:t>
      </w:r>
      <w:r w:rsidRPr="00FF6FB0">
        <w:rPr>
          <w:rFonts w:cs="Calibri"/>
        </w:rPr>
        <w:t xml:space="preserve">, Cinca, Madrid, 2008; </w:t>
      </w:r>
      <w:r w:rsidRPr="00FF6FB0">
        <w:t>STEIN, M.A., “</w:t>
      </w:r>
      <w:proofErr w:type="spellStart"/>
      <w:r w:rsidRPr="00400A6A">
        <w:t>Disability</w:t>
      </w:r>
      <w:proofErr w:type="spellEnd"/>
      <w:r w:rsidRPr="00400A6A">
        <w:t xml:space="preserve"> </w:t>
      </w:r>
      <w:proofErr w:type="spellStart"/>
      <w:r w:rsidRPr="00400A6A">
        <w:t>Human</w:t>
      </w:r>
      <w:proofErr w:type="spellEnd"/>
      <w:r w:rsidRPr="00400A6A">
        <w:t xml:space="preserve"> </w:t>
      </w:r>
      <w:proofErr w:type="spellStart"/>
      <w:r w:rsidRPr="00400A6A">
        <w:t>Rights</w:t>
      </w:r>
      <w:proofErr w:type="spellEnd"/>
      <w:r w:rsidRPr="00400A6A">
        <w:t xml:space="preserve">”, </w:t>
      </w:r>
      <w:r w:rsidRPr="00400A6A">
        <w:rPr>
          <w:i/>
        </w:rPr>
        <w:t xml:space="preserve">California </w:t>
      </w:r>
      <w:proofErr w:type="spellStart"/>
      <w:r w:rsidRPr="00400A6A">
        <w:rPr>
          <w:i/>
        </w:rPr>
        <w:t>Law</w:t>
      </w:r>
      <w:proofErr w:type="spellEnd"/>
      <w:r w:rsidRPr="00400A6A">
        <w:rPr>
          <w:i/>
        </w:rPr>
        <w:t xml:space="preserve"> </w:t>
      </w:r>
      <w:proofErr w:type="spellStart"/>
      <w:r w:rsidRPr="00400A6A">
        <w:rPr>
          <w:i/>
        </w:rPr>
        <w:t>Review</w:t>
      </w:r>
      <w:proofErr w:type="spellEnd"/>
      <w:r w:rsidRPr="00400A6A">
        <w:t xml:space="preserve">, vol. 95, 2007, pág. 87 a 91; BICKENBACH, J. </w:t>
      </w:r>
      <w:r w:rsidRPr="00400A6A">
        <w:rPr>
          <w:i/>
        </w:rPr>
        <w:t>et al</w:t>
      </w:r>
      <w:r w:rsidRPr="00400A6A">
        <w:t>, “</w:t>
      </w:r>
      <w:proofErr w:type="spellStart"/>
      <w:r w:rsidRPr="00400A6A">
        <w:t>Models</w:t>
      </w:r>
      <w:proofErr w:type="spellEnd"/>
      <w:r w:rsidRPr="00400A6A">
        <w:t xml:space="preserve"> of </w:t>
      </w:r>
      <w:proofErr w:type="spellStart"/>
      <w:r w:rsidRPr="00400A6A">
        <w:t>Disablement</w:t>
      </w:r>
      <w:proofErr w:type="spellEnd"/>
      <w:r w:rsidRPr="00400A6A">
        <w:t xml:space="preserve">, </w:t>
      </w:r>
      <w:proofErr w:type="spellStart"/>
      <w:r w:rsidRPr="00400A6A">
        <w:t>Universalism</w:t>
      </w:r>
      <w:proofErr w:type="spellEnd"/>
      <w:r w:rsidRPr="00400A6A">
        <w:t xml:space="preserve"> and </w:t>
      </w:r>
      <w:proofErr w:type="spellStart"/>
      <w:r w:rsidRPr="00400A6A">
        <w:t>the</w:t>
      </w:r>
      <w:proofErr w:type="spellEnd"/>
      <w:r w:rsidRPr="00400A6A">
        <w:t xml:space="preserve"> International </w:t>
      </w:r>
      <w:proofErr w:type="spellStart"/>
      <w:r w:rsidRPr="00400A6A">
        <w:t>Classification</w:t>
      </w:r>
      <w:proofErr w:type="spellEnd"/>
      <w:r w:rsidRPr="00400A6A">
        <w:t xml:space="preserve"> of </w:t>
      </w:r>
      <w:proofErr w:type="spellStart"/>
      <w:r w:rsidRPr="00400A6A">
        <w:t>Impairments</w:t>
      </w:r>
      <w:proofErr w:type="spellEnd"/>
      <w:r w:rsidRPr="00400A6A">
        <w:t xml:space="preserve">, </w:t>
      </w:r>
      <w:proofErr w:type="spellStart"/>
      <w:r w:rsidRPr="00400A6A">
        <w:t>Disabilities</w:t>
      </w:r>
      <w:proofErr w:type="spellEnd"/>
      <w:r w:rsidRPr="00400A6A">
        <w:t xml:space="preserve"> and </w:t>
      </w:r>
      <w:proofErr w:type="spellStart"/>
      <w:r w:rsidRPr="00400A6A">
        <w:t>Handicaps</w:t>
      </w:r>
      <w:proofErr w:type="spellEnd"/>
      <w:r w:rsidRPr="00400A6A">
        <w:t xml:space="preserve">”, </w:t>
      </w:r>
      <w:r w:rsidRPr="00400A6A">
        <w:rPr>
          <w:i/>
        </w:rPr>
        <w:t xml:space="preserve">Social </w:t>
      </w:r>
      <w:proofErr w:type="spellStart"/>
      <w:r w:rsidRPr="00400A6A">
        <w:rPr>
          <w:i/>
        </w:rPr>
        <w:t>Science</w:t>
      </w:r>
      <w:proofErr w:type="spellEnd"/>
      <w:r w:rsidRPr="00400A6A">
        <w:rPr>
          <w:i/>
        </w:rPr>
        <w:t xml:space="preserve"> &amp; Medicine</w:t>
      </w:r>
      <w:r w:rsidRPr="00FF6FB0">
        <w:rPr>
          <w:i/>
        </w:rPr>
        <w:t xml:space="preserve">, </w:t>
      </w:r>
      <w:r w:rsidRPr="00FF6FB0">
        <w:t xml:space="preserve">núm. 48, 1999, pág. 1173-1187. </w:t>
      </w:r>
    </w:p>
  </w:footnote>
  <w:footnote w:id="5">
    <w:p w:rsidR="00B67B13"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La recepción del modelo social en Europa se produjo de forma gradual, mediante la aprobación de resoluciones no vinculantes –</w:t>
      </w:r>
      <w:proofErr w:type="spellStart"/>
      <w:r w:rsidRPr="00FF6FB0">
        <w:rPr>
          <w:rFonts w:cs="Calibri"/>
          <w:i/>
        </w:rPr>
        <w:t>softlaw</w:t>
      </w:r>
      <w:proofErr w:type="spellEnd"/>
      <w:r w:rsidRPr="00FF6FB0">
        <w:rPr>
          <w:rFonts w:cs="Calibri"/>
        </w:rPr>
        <w:t>-, como por ejemplo la Comunicación de la Comisión al Consejo, de 4 de noviembre de 1981, sobre líneas directrices de una acción comunitaria para la inserción social de las personas con discapacidad, Resolución del Consejo de 21 de diciembre de 1981 sobre la integración social de los minusválidos o la Comunicación de la Comisión, de 30 de julio de 1996, sobre la igualdad de oportunidades de las personas con minusvalía, alcanzando su cénit con la Directiva 2000/78 del Consejo de 27 de noviembre, relativa al establecimiento de un marco general para la igualdad de trato en el empleo y la ocupación.</w:t>
      </w:r>
    </w:p>
    <w:p w:rsidR="00B67B13" w:rsidRPr="00FF6FB0" w:rsidRDefault="00B67B13" w:rsidP="00A16672">
      <w:pPr>
        <w:pStyle w:val="Textonotapie"/>
        <w:spacing w:after="0" w:line="240" w:lineRule="auto"/>
        <w:jc w:val="both"/>
        <w:rPr>
          <w:rFonts w:cs="Calibri"/>
        </w:rPr>
      </w:pPr>
      <w:r>
        <w:rPr>
          <w:rFonts w:cs="Calibri"/>
        </w:rPr>
        <w:t xml:space="preserve">No obstante, la norma que mayor protagonismo asumió, y que será abordada en el marco de esta comunicación, fue la Directiva 2000/78, del Consejo de 27 de noviembre de 2000, relativa al establecimiento de un marco general para la igualdad de trato en el empleo y la ocupación. </w:t>
      </w:r>
    </w:p>
  </w:footnote>
  <w:footnote w:id="6">
    <w:p w:rsidR="00B67B13" w:rsidRPr="00400A6A" w:rsidRDefault="00B67B13" w:rsidP="00A16672">
      <w:pPr>
        <w:autoSpaceDE w:val="0"/>
        <w:autoSpaceDN w:val="0"/>
        <w:adjustRightInd w:val="0"/>
        <w:spacing w:after="0" w:line="240" w:lineRule="auto"/>
        <w:jc w:val="both"/>
        <w:rPr>
          <w:rFonts w:cs="Calibri"/>
          <w:sz w:val="20"/>
          <w:szCs w:val="20"/>
          <w:lang w:val="en-US"/>
        </w:rPr>
      </w:pPr>
      <w:r w:rsidRPr="00FF6FB0">
        <w:rPr>
          <w:rStyle w:val="Refdenotaalpie"/>
          <w:rFonts w:cs="Calibri"/>
          <w:sz w:val="20"/>
          <w:szCs w:val="20"/>
        </w:rPr>
        <w:footnoteRef/>
      </w:r>
      <w:r w:rsidRPr="00FF6FB0">
        <w:rPr>
          <w:rFonts w:cs="Calibri"/>
          <w:sz w:val="20"/>
          <w:szCs w:val="20"/>
        </w:rPr>
        <w:t xml:space="preserve"> Para un análisis de las negociacio</w:t>
      </w:r>
      <w:r>
        <w:rPr>
          <w:rFonts w:cs="Calibri"/>
          <w:sz w:val="20"/>
          <w:szCs w:val="20"/>
        </w:rPr>
        <w:t>nes de la Convención, véase KAY</w:t>
      </w:r>
      <w:r w:rsidRPr="00FF6FB0">
        <w:rPr>
          <w:rFonts w:cs="Calibri"/>
          <w:sz w:val="20"/>
          <w:szCs w:val="20"/>
        </w:rPr>
        <w:t>ESS, R. &amp; FRENCH, P., “</w:t>
      </w:r>
      <w:proofErr w:type="spellStart"/>
      <w:r w:rsidRPr="00400A6A">
        <w:rPr>
          <w:rFonts w:cs="Calibri"/>
          <w:sz w:val="20"/>
          <w:szCs w:val="20"/>
        </w:rPr>
        <w:t>Out</w:t>
      </w:r>
      <w:proofErr w:type="spellEnd"/>
      <w:r w:rsidRPr="00400A6A">
        <w:rPr>
          <w:rFonts w:cs="Calibri"/>
          <w:sz w:val="20"/>
          <w:szCs w:val="20"/>
        </w:rPr>
        <w:t xml:space="preserve"> of </w:t>
      </w:r>
      <w:proofErr w:type="spellStart"/>
      <w:r w:rsidRPr="00400A6A">
        <w:rPr>
          <w:rFonts w:cs="Calibri"/>
          <w:sz w:val="20"/>
          <w:szCs w:val="20"/>
        </w:rPr>
        <w:t>Darkness</w:t>
      </w:r>
      <w:proofErr w:type="spellEnd"/>
      <w:r w:rsidRPr="00400A6A">
        <w:rPr>
          <w:rFonts w:cs="Calibri"/>
          <w:sz w:val="20"/>
          <w:szCs w:val="20"/>
        </w:rPr>
        <w:t xml:space="preserve"> </w:t>
      </w:r>
      <w:proofErr w:type="spellStart"/>
      <w:r w:rsidRPr="00400A6A">
        <w:rPr>
          <w:rFonts w:cs="Calibri"/>
          <w:sz w:val="20"/>
          <w:szCs w:val="20"/>
        </w:rPr>
        <w:t>into</w:t>
      </w:r>
      <w:proofErr w:type="spellEnd"/>
      <w:r w:rsidRPr="00400A6A">
        <w:rPr>
          <w:rFonts w:cs="Calibri"/>
          <w:sz w:val="20"/>
          <w:szCs w:val="20"/>
        </w:rPr>
        <w:t xml:space="preserve"> Light? </w:t>
      </w:r>
      <w:r w:rsidRPr="000C0440">
        <w:rPr>
          <w:rFonts w:cs="Calibri"/>
          <w:sz w:val="20"/>
          <w:szCs w:val="20"/>
          <w:lang w:val="en-US"/>
        </w:rPr>
        <w:t xml:space="preserve">Introducing the Convention of Persons with Disabilities”, </w:t>
      </w:r>
      <w:r w:rsidRPr="000C0440">
        <w:rPr>
          <w:rFonts w:cs="Calibri"/>
          <w:i/>
          <w:sz w:val="20"/>
          <w:szCs w:val="20"/>
          <w:lang w:val="en-US"/>
        </w:rPr>
        <w:t>Human Rights Law Review</w:t>
      </w:r>
      <w:r w:rsidRPr="00400A6A">
        <w:rPr>
          <w:rFonts w:cs="Calibri"/>
          <w:sz w:val="20"/>
          <w:szCs w:val="20"/>
          <w:lang w:val="en-US"/>
        </w:rPr>
        <w:t xml:space="preserve">, </w:t>
      </w:r>
      <w:proofErr w:type="spellStart"/>
      <w:r w:rsidRPr="00400A6A">
        <w:rPr>
          <w:rFonts w:cs="Calibri"/>
          <w:sz w:val="20"/>
          <w:szCs w:val="20"/>
          <w:lang w:val="en-US"/>
        </w:rPr>
        <w:t>núm</w:t>
      </w:r>
      <w:proofErr w:type="spellEnd"/>
      <w:r w:rsidRPr="00400A6A">
        <w:rPr>
          <w:rFonts w:cs="Calibri"/>
          <w:sz w:val="20"/>
          <w:szCs w:val="20"/>
          <w:lang w:val="en-US"/>
        </w:rPr>
        <w:t xml:space="preserve">. 1, 2008; QUINN, G., </w:t>
      </w:r>
      <w:r w:rsidRPr="000C0440">
        <w:rPr>
          <w:rFonts w:cs="Calibri"/>
          <w:sz w:val="20"/>
          <w:szCs w:val="20"/>
          <w:lang w:val="en-US"/>
        </w:rPr>
        <w:t xml:space="preserve">A Short Guide to the United Nations Convention on the Right of Persons with Disabilities en QUINN, G. &amp; WADDINGTON, L., </w:t>
      </w:r>
      <w:r w:rsidRPr="000C0440">
        <w:rPr>
          <w:rFonts w:cs="Calibri"/>
          <w:i/>
          <w:sz w:val="20"/>
          <w:szCs w:val="20"/>
          <w:lang w:val="en-US"/>
        </w:rPr>
        <w:t>European Yearbook of Disability Law</w:t>
      </w:r>
      <w:r w:rsidRPr="000C0440">
        <w:rPr>
          <w:rFonts w:cs="Calibri"/>
          <w:sz w:val="20"/>
          <w:szCs w:val="20"/>
          <w:lang w:val="en-US"/>
        </w:rPr>
        <w:t xml:space="preserve">, vol. 1, Editorial </w:t>
      </w:r>
      <w:proofErr w:type="spellStart"/>
      <w:r w:rsidRPr="000C0440">
        <w:rPr>
          <w:rFonts w:cs="Calibri"/>
          <w:sz w:val="20"/>
          <w:szCs w:val="20"/>
          <w:lang w:val="en-US"/>
        </w:rPr>
        <w:t>Intersentia</w:t>
      </w:r>
      <w:proofErr w:type="spellEnd"/>
      <w:r w:rsidRPr="00400A6A">
        <w:rPr>
          <w:rFonts w:cs="Calibri"/>
          <w:sz w:val="20"/>
          <w:szCs w:val="20"/>
          <w:lang w:val="en-US"/>
        </w:rPr>
        <w:t xml:space="preserve">, Oxford, </w:t>
      </w:r>
      <w:proofErr w:type="spellStart"/>
      <w:r w:rsidRPr="00400A6A">
        <w:rPr>
          <w:rFonts w:cs="Calibri"/>
          <w:sz w:val="20"/>
          <w:szCs w:val="20"/>
          <w:lang w:val="en-US"/>
        </w:rPr>
        <w:t>págs</w:t>
      </w:r>
      <w:proofErr w:type="spellEnd"/>
      <w:r w:rsidRPr="00400A6A">
        <w:rPr>
          <w:rFonts w:cs="Calibri"/>
          <w:sz w:val="20"/>
          <w:szCs w:val="20"/>
          <w:lang w:val="en-US"/>
        </w:rPr>
        <w:t>. 89-114; TRÖMEL, S., “</w:t>
      </w:r>
      <w:r w:rsidRPr="000C0440">
        <w:rPr>
          <w:rFonts w:cs="Calibri"/>
          <w:sz w:val="20"/>
          <w:szCs w:val="20"/>
          <w:lang w:val="en-US"/>
        </w:rPr>
        <w:t xml:space="preserve">A Personal Perspective on the Drafting History of the United Nations Convention on the Rights of Persons with Disabilities” en QUINN, G. &amp; WADDINGTON, L., </w:t>
      </w:r>
      <w:r w:rsidRPr="000C0440">
        <w:rPr>
          <w:rFonts w:cs="Calibri"/>
          <w:i/>
          <w:sz w:val="20"/>
          <w:szCs w:val="20"/>
          <w:lang w:val="en-US"/>
        </w:rPr>
        <w:t>European Yearbook of Disability Law</w:t>
      </w:r>
      <w:r w:rsidRPr="00400A6A">
        <w:rPr>
          <w:rFonts w:cs="Calibri"/>
          <w:sz w:val="20"/>
          <w:szCs w:val="20"/>
          <w:lang w:val="en-US"/>
        </w:rPr>
        <w:t xml:space="preserve">, vol. 1, Editorial </w:t>
      </w:r>
      <w:proofErr w:type="spellStart"/>
      <w:r w:rsidRPr="00400A6A">
        <w:rPr>
          <w:rFonts w:cs="Calibri"/>
          <w:sz w:val="20"/>
          <w:szCs w:val="20"/>
          <w:lang w:val="en-US"/>
        </w:rPr>
        <w:t>Intersentia</w:t>
      </w:r>
      <w:proofErr w:type="spellEnd"/>
      <w:r w:rsidRPr="00400A6A">
        <w:rPr>
          <w:rFonts w:cs="Calibri"/>
          <w:sz w:val="20"/>
          <w:szCs w:val="20"/>
          <w:lang w:val="en-US"/>
        </w:rPr>
        <w:t xml:space="preserve">, Oxford, </w:t>
      </w:r>
      <w:proofErr w:type="spellStart"/>
      <w:r w:rsidRPr="00400A6A">
        <w:rPr>
          <w:rFonts w:cs="Calibri"/>
          <w:sz w:val="20"/>
          <w:szCs w:val="20"/>
          <w:lang w:val="en-US"/>
        </w:rPr>
        <w:t>págs</w:t>
      </w:r>
      <w:proofErr w:type="spellEnd"/>
      <w:r w:rsidRPr="00400A6A">
        <w:rPr>
          <w:rFonts w:cs="Calibri"/>
          <w:sz w:val="20"/>
          <w:szCs w:val="20"/>
          <w:lang w:val="en-US"/>
        </w:rPr>
        <w:t xml:space="preserve">. </w:t>
      </w:r>
      <w:proofErr w:type="gramStart"/>
      <w:r w:rsidRPr="00400A6A">
        <w:rPr>
          <w:rFonts w:cs="Calibri"/>
          <w:sz w:val="20"/>
          <w:szCs w:val="20"/>
          <w:lang w:val="en-US"/>
        </w:rPr>
        <w:t>115-136; DE BURCA, G., “</w:t>
      </w:r>
      <w:r w:rsidRPr="000C0440">
        <w:rPr>
          <w:rFonts w:cs="Calibri"/>
          <w:sz w:val="20"/>
          <w:szCs w:val="20"/>
          <w:lang w:val="en-US"/>
        </w:rPr>
        <w:t xml:space="preserve">The EU in the Negotiation of the UN Disability Convention”, </w:t>
      </w:r>
      <w:r w:rsidRPr="000C0440">
        <w:rPr>
          <w:rFonts w:cs="Calibri"/>
          <w:i/>
          <w:sz w:val="20"/>
          <w:szCs w:val="20"/>
          <w:lang w:val="en-US"/>
        </w:rPr>
        <w:t>European Law Review</w:t>
      </w:r>
      <w:r w:rsidRPr="00400A6A">
        <w:rPr>
          <w:rFonts w:cs="Calibri"/>
          <w:sz w:val="20"/>
          <w:szCs w:val="20"/>
          <w:lang w:val="en-US"/>
        </w:rPr>
        <w:t xml:space="preserve">, </w:t>
      </w:r>
      <w:proofErr w:type="spellStart"/>
      <w:r w:rsidRPr="00400A6A">
        <w:rPr>
          <w:rFonts w:cs="Calibri"/>
          <w:sz w:val="20"/>
          <w:szCs w:val="20"/>
          <w:lang w:val="en-US"/>
        </w:rPr>
        <w:t>núm</w:t>
      </w:r>
      <w:proofErr w:type="spellEnd"/>
      <w:r w:rsidRPr="00400A6A">
        <w:rPr>
          <w:rFonts w:cs="Calibri"/>
          <w:sz w:val="20"/>
          <w:szCs w:val="20"/>
          <w:lang w:val="en-US"/>
        </w:rPr>
        <w:t>.</w:t>
      </w:r>
      <w:proofErr w:type="gramEnd"/>
      <w:r w:rsidRPr="00400A6A">
        <w:rPr>
          <w:rFonts w:cs="Calibri"/>
          <w:sz w:val="20"/>
          <w:szCs w:val="20"/>
          <w:lang w:val="en-US"/>
        </w:rPr>
        <w:t xml:space="preserve"> </w:t>
      </w:r>
      <w:proofErr w:type="gramStart"/>
      <w:r w:rsidRPr="00400A6A">
        <w:rPr>
          <w:rFonts w:cs="Calibri"/>
          <w:sz w:val="20"/>
          <w:szCs w:val="20"/>
          <w:lang w:val="en-US"/>
        </w:rPr>
        <w:t>35, vol. 2, 2010.</w:t>
      </w:r>
      <w:proofErr w:type="gramEnd"/>
      <w:r w:rsidRPr="00400A6A">
        <w:rPr>
          <w:rFonts w:cs="Calibri"/>
          <w:sz w:val="20"/>
          <w:szCs w:val="20"/>
          <w:lang w:val="en-US"/>
        </w:rPr>
        <w:t xml:space="preserve">  </w:t>
      </w:r>
    </w:p>
  </w:footnote>
  <w:footnote w:id="7">
    <w:p w:rsidR="00B67B13" w:rsidRPr="00400A6A"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r w:rsidRPr="00400A6A">
        <w:rPr>
          <w:rFonts w:cs="Calibri"/>
          <w:i/>
          <w:lang w:val="en-US"/>
        </w:rPr>
        <w:t>Vid</w:t>
      </w:r>
      <w:proofErr w:type="spellEnd"/>
      <w:r w:rsidRPr="00400A6A">
        <w:rPr>
          <w:rFonts w:cs="Calibri"/>
          <w:i/>
          <w:lang w:val="en-US"/>
        </w:rPr>
        <w:t>.</w:t>
      </w:r>
      <w:r w:rsidRPr="00400A6A">
        <w:rPr>
          <w:rFonts w:cs="Calibri"/>
          <w:lang w:val="en-US"/>
        </w:rPr>
        <w:t xml:space="preserve"> KAYESS, R. y FRENCH, P., </w:t>
      </w:r>
      <w:proofErr w:type="gramStart"/>
      <w:r w:rsidRPr="00400A6A">
        <w:rPr>
          <w:rFonts w:cs="Calibri"/>
          <w:i/>
          <w:lang w:val="en-US"/>
        </w:rPr>
        <w:t>Ibid</w:t>
      </w:r>
      <w:r w:rsidRPr="00400A6A">
        <w:rPr>
          <w:rFonts w:cs="Calibri"/>
          <w:lang w:val="en-US"/>
        </w:rPr>
        <w:t>.,</w:t>
      </w:r>
      <w:proofErr w:type="gramEnd"/>
      <w:r w:rsidRPr="00400A6A">
        <w:rPr>
          <w:rFonts w:cs="Calibri"/>
          <w:lang w:val="en-US"/>
        </w:rPr>
        <w:t xml:space="preserve"> </w:t>
      </w:r>
      <w:proofErr w:type="spellStart"/>
      <w:r w:rsidRPr="00400A6A">
        <w:rPr>
          <w:rFonts w:cs="Calibri"/>
          <w:lang w:val="en-US"/>
        </w:rPr>
        <w:t>pág</w:t>
      </w:r>
      <w:proofErr w:type="spellEnd"/>
      <w:r w:rsidRPr="00400A6A">
        <w:rPr>
          <w:rFonts w:cs="Calibri"/>
          <w:lang w:val="en-US"/>
        </w:rPr>
        <w:t>. 14.</w:t>
      </w:r>
    </w:p>
  </w:footnote>
  <w:footnote w:id="8">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Esta tesis ha sido defendida por  COURTIS, C., “Los derechos de las personas con discapacidad en el Sistema de Naciones Unidas” en DE LORENZO, R y PÉREZ BUENO, LC. (</w:t>
      </w:r>
      <w:proofErr w:type="spellStart"/>
      <w:r w:rsidRPr="00FF6FB0">
        <w:rPr>
          <w:rFonts w:cs="Calibri"/>
        </w:rPr>
        <w:t>Dirs</w:t>
      </w:r>
      <w:proofErr w:type="spellEnd"/>
      <w:r w:rsidRPr="00FF6FB0">
        <w:rPr>
          <w:rFonts w:cs="Calibri"/>
        </w:rPr>
        <w:t>.), “</w:t>
      </w:r>
      <w:r w:rsidRPr="00FF6FB0">
        <w:rPr>
          <w:rFonts w:cs="Calibri"/>
          <w:i/>
        </w:rPr>
        <w:t>Tratado sobre discapacidad</w:t>
      </w:r>
      <w:r w:rsidRPr="00FF6FB0">
        <w:rPr>
          <w:rFonts w:cs="Calibri"/>
        </w:rPr>
        <w:t>”, Aranzadi, Navarra, 2007, pág. 306;  CUENCA GÓMEZ, P., “</w:t>
      </w:r>
      <w:r w:rsidRPr="00FF6FB0">
        <w:rPr>
          <w:rFonts w:cs="Calibri"/>
          <w:i/>
        </w:rPr>
        <w:t>Los derechos fundamentales de las personas con discapacidad. Un análisis a la luz de la Convención de la ONU</w:t>
      </w:r>
      <w:r w:rsidRPr="00FF6FB0">
        <w:rPr>
          <w:rFonts w:cs="Calibri"/>
        </w:rPr>
        <w:t xml:space="preserve">”, Servicio de publicaciones de la Universidad de Alcalá, Alcalá de Henares, 2012, pág. 26; y DE LORENZO, R., “Los contornos del Derecho de la Discapacidad” en PÉREZ BUENO, L.C. (Dir.), </w:t>
      </w:r>
      <w:r w:rsidRPr="00FF6FB0">
        <w:rPr>
          <w:rFonts w:cs="Calibri"/>
          <w:i/>
        </w:rPr>
        <w:t>Hacia un derecho de la discapacidad. Estudios en homenaje al profesor Rafael de Lorenzo</w:t>
      </w:r>
      <w:r w:rsidRPr="00FF6FB0">
        <w:rPr>
          <w:rFonts w:cs="Calibri"/>
        </w:rPr>
        <w:t>., Aranzadi, Navarra, 2009, pág. 71.</w:t>
      </w:r>
    </w:p>
  </w:footnote>
  <w:footnote w:id="9">
    <w:p w:rsidR="00B67B13" w:rsidRPr="00400A6A"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r w:rsidRPr="00400A6A">
        <w:rPr>
          <w:rFonts w:cs="Calibri"/>
          <w:lang w:val="en-US"/>
        </w:rPr>
        <w:t>Sobre</w:t>
      </w:r>
      <w:proofErr w:type="spellEnd"/>
      <w:r w:rsidRPr="00400A6A">
        <w:rPr>
          <w:rFonts w:cs="Calibri"/>
          <w:lang w:val="en-US"/>
        </w:rPr>
        <w:t xml:space="preserve"> </w:t>
      </w:r>
      <w:proofErr w:type="spellStart"/>
      <w:r w:rsidRPr="00400A6A">
        <w:rPr>
          <w:rFonts w:cs="Calibri"/>
          <w:lang w:val="en-US"/>
        </w:rPr>
        <w:t>esta</w:t>
      </w:r>
      <w:proofErr w:type="spellEnd"/>
      <w:r w:rsidRPr="00400A6A">
        <w:rPr>
          <w:rFonts w:cs="Calibri"/>
          <w:lang w:val="en-US"/>
        </w:rPr>
        <w:t xml:space="preserve"> </w:t>
      </w:r>
      <w:proofErr w:type="spellStart"/>
      <w:r w:rsidRPr="00400A6A">
        <w:rPr>
          <w:rFonts w:cs="Calibri"/>
          <w:lang w:val="en-US"/>
        </w:rPr>
        <w:t>cuestión</w:t>
      </w:r>
      <w:proofErr w:type="spellEnd"/>
      <w:r w:rsidRPr="00400A6A">
        <w:rPr>
          <w:rFonts w:cs="Calibri"/>
          <w:lang w:val="en-US"/>
        </w:rPr>
        <w:t xml:space="preserve">, </w:t>
      </w:r>
      <w:proofErr w:type="spellStart"/>
      <w:r w:rsidRPr="00400A6A">
        <w:rPr>
          <w:rFonts w:cs="Calibri"/>
          <w:lang w:val="en-US"/>
        </w:rPr>
        <w:t>véase</w:t>
      </w:r>
      <w:proofErr w:type="spellEnd"/>
      <w:r w:rsidRPr="00400A6A">
        <w:rPr>
          <w:rFonts w:cs="Calibri"/>
          <w:lang w:val="en-US"/>
        </w:rPr>
        <w:t xml:space="preserve"> QUINN, G y FLYNN, E., “</w:t>
      </w:r>
      <w:r w:rsidRPr="000C0440">
        <w:rPr>
          <w:rFonts w:cs="Calibri"/>
          <w:lang w:val="en-US"/>
        </w:rPr>
        <w:t xml:space="preserve">Transatlantic Borrowings: The Past and Future of EU Non-Discrimination Law and Policy on the Ground of Disability”, </w:t>
      </w:r>
      <w:r w:rsidRPr="000C0440">
        <w:rPr>
          <w:rFonts w:cs="Calibri"/>
          <w:i/>
          <w:lang w:val="en-US"/>
        </w:rPr>
        <w:t>The American Journal of Comparative Law</w:t>
      </w:r>
      <w:r w:rsidRPr="000C0440">
        <w:rPr>
          <w:rFonts w:cs="Calibri"/>
          <w:lang w:val="en-US"/>
        </w:rPr>
        <w:t xml:space="preserve">, vol. 60, 2012, </w:t>
      </w:r>
      <w:proofErr w:type="spellStart"/>
      <w:r w:rsidRPr="000C0440">
        <w:rPr>
          <w:rFonts w:cs="Calibri"/>
          <w:lang w:val="en-US"/>
        </w:rPr>
        <w:t>págs</w:t>
      </w:r>
      <w:proofErr w:type="spellEnd"/>
      <w:r w:rsidRPr="000C0440">
        <w:rPr>
          <w:rFonts w:cs="Calibri"/>
          <w:lang w:val="en-US"/>
        </w:rPr>
        <w:t xml:space="preserve">. 34-39. </w:t>
      </w:r>
      <w:r w:rsidRPr="00400A6A">
        <w:rPr>
          <w:rFonts w:cs="Calibri"/>
          <w:lang w:val="en-US"/>
        </w:rPr>
        <w:t xml:space="preserve">Para </w:t>
      </w:r>
      <w:proofErr w:type="gramStart"/>
      <w:r w:rsidRPr="00400A6A">
        <w:rPr>
          <w:rFonts w:cs="Calibri"/>
          <w:lang w:val="en-US"/>
        </w:rPr>
        <w:t>un</w:t>
      </w:r>
      <w:proofErr w:type="gramEnd"/>
      <w:r w:rsidRPr="00400A6A">
        <w:rPr>
          <w:rFonts w:cs="Calibri"/>
          <w:lang w:val="en-US"/>
        </w:rPr>
        <w:t xml:space="preserve"> </w:t>
      </w:r>
      <w:proofErr w:type="spellStart"/>
      <w:r w:rsidRPr="00400A6A">
        <w:rPr>
          <w:rFonts w:cs="Calibri"/>
          <w:lang w:val="en-US"/>
        </w:rPr>
        <w:t>estudio</w:t>
      </w:r>
      <w:proofErr w:type="spellEnd"/>
      <w:r w:rsidRPr="00400A6A">
        <w:rPr>
          <w:rFonts w:cs="Calibri"/>
          <w:lang w:val="en-US"/>
        </w:rPr>
        <w:t xml:space="preserve"> en </w:t>
      </w:r>
      <w:proofErr w:type="spellStart"/>
      <w:r w:rsidRPr="00400A6A">
        <w:rPr>
          <w:rFonts w:cs="Calibri"/>
          <w:lang w:val="en-US"/>
        </w:rPr>
        <w:t>profundidad</w:t>
      </w:r>
      <w:proofErr w:type="spellEnd"/>
      <w:r w:rsidRPr="00400A6A">
        <w:rPr>
          <w:rFonts w:cs="Calibri"/>
          <w:lang w:val="en-US"/>
        </w:rPr>
        <w:t xml:space="preserve"> </w:t>
      </w:r>
      <w:proofErr w:type="spellStart"/>
      <w:r w:rsidRPr="00400A6A">
        <w:rPr>
          <w:rFonts w:cs="Calibri"/>
          <w:lang w:val="en-US"/>
        </w:rPr>
        <w:t>sobre</w:t>
      </w:r>
      <w:proofErr w:type="spellEnd"/>
      <w:r w:rsidRPr="00400A6A">
        <w:rPr>
          <w:rFonts w:cs="Calibri"/>
          <w:lang w:val="en-US"/>
        </w:rPr>
        <w:t xml:space="preserve"> </w:t>
      </w:r>
      <w:proofErr w:type="spellStart"/>
      <w:r w:rsidRPr="00400A6A">
        <w:rPr>
          <w:rFonts w:cs="Calibri"/>
          <w:lang w:val="en-US"/>
        </w:rPr>
        <w:t>esta</w:t>
      </w:r>
      <w:proofErr w:type="spellEnd"/>
      <w:r w:rsidRPr="00400A6A">
        <w:rPr>
          <w:rFonts w:cs="Calibri"/>
          <w:lang w:val="en-US"/>
        </w:rPr>
        <w:t xml:space="preserve"> </w:t>
      </w:r>
      <w:proofErr w:type="spellStart"/>
      <w:r w:rsidRPr="00400A6A">
        <w:rPr>
          <w:rFonts w:cs="Calibri"/>
          <w:lang w:val="en-US"/>
        </w:rPr>
        <w:t>cuestión</w:t>
      </w:r>
      <w:proofErr w:type="spellEnd"/>
      <w:r w:rsidRPr="00400A6A">
        <w:rPr>
          <w:rFonts w:cs="Calibri"/>
          <w:lang w:val="en-US"/>
        </w:rPr>
        <w:t xml:space="preserve">, </w:t>
      </w:r>
      <w:proofErr w:type="spellStart"/>
      <w:r w:rsidRPr="00400A6A">
        <w:rPr>
          <w:rFonts w:cs="Calibri"/>
          <w:lang w:val="en-US"/>
        </w:rPr>
        <w:t>véase</w:t>
      </w:r>
      <w:proofErr w:type="spellEnd"/>
      <w:r w:rsidR="00556A05">
        <w:rPr>
          <w:rFonts w:cs="Calibri"/>
          <w:lang w:val="en-US"/>
        </w:rPr>
        <w:t xml:space="preserve"> </w:t>
      </w:r>
      <w:r w:rsidRPr="000C0440">
        <w:rPr>
          <w:lang w:val="en-US"/>
        </w:rPr>
        <w:t xml:space="preserve">WADDINGTON, L., “Legislating to Employ People with Disabilities: the European and American Way”, </w:t>
      </w:r>
      <w:r w:rsidRPr="000C0440">
        <w:rPr>
          <w:i/>
          <w:lang w:val="en-US"/>
        </w:rPr>
        <w:t xml:space="preserve">Maastricht Journal, </w:t>
      </w:r>
      <w:proofErr w:type="spellStart"/>
      <w:r w:rsidRPr="000C0440">
        <w:rPr>
          <w:lang w:val="en-US"/>
        </w:rPr>
        <w:t>núm</w:t>
      </w:r>
      <w:proofErr w:type="spellEnd"/>
      <w:r w:rsidRPr="000C0440">
        <w:rPr>
          <w:lang w:val="en-US"/>
        </w:rPr>
        <w:t>. 367</w:t>
      </w:r>
      <w:proofErr w:type="gramStart"/>
      <w:r w:rsidRPr="000C0440">
        <w:rPr>
          <w:lang w:val="en-US"/>
        </w:rPr>
        <w:t>,vol</w:t>
      </w:r>
      <w:proofErr w:type="gramEnd"/>
      <w:r w:rsidRPr="000C0440">
        <w:rPr>
          <w:lang w:val="en-US"/>
        </w:rPr>
        <w:t xml:space="preserve">. 1, 1994, </w:t>
      </w:r>
      <w:proofErr w:type="spellStart"/>
      <w:r w:rsidRPr="000C0440">
        <w:rPr>
          <w:lang w:val="en-US"/>
        </w:rPr>
        <w:t>págs</w:t>
      </w:r>
      <w:proofErr w:type="spellEnd"/>
      <w:r w:rsidRPr="000C0440">
        <w:rPr>
          <w:lang w:val="en-US"/>
        </w:rPr>
        <w:t>. 368; WADDINGTON, L. y DILLER, M., “Tensions and Coherence in Disability Police: The Uneasy Relationship between Social Welfare and Civil Rights Models of Disability in American, European and International Employment Law</w:t>
      </w:r>
      <w:r w:rsidRPr="00400A6A">
        <w:rPr>
          <w:lang w:val="en-US"/>
        </w:rPr>
        <w:t xml:space="preserve">” en BRESLIN, M.L. y YEE, S. (eds.), </w:t>
      </w:r>
      <w:r w:rsidRPr="000C0440">
        <w:rPr>
          <w:i/>
          <w:iCs/>
          <w:lang w:val="en-US"/>
        </w:rPr>
        <w:t>Disability Rights and Policy. International and National Perspectives</w:t>
      </w:r>
      <w:r w:rsidRPr="000C0440">
        <w:rPr>
          <w:lang w:val="en-US"/>
        </w:rPr>
        <w:t>, Ardsley: Transnational Publishers</w:t>
      </w:r>
      <w:r w:rsidRPr="00400A6A">
        <w:rPr>
          <w:lang w:val="en-US"/>
        </w:rPr>
        <w:t xml:space="preserve">, 2002; </w:t>
      </w:r>
      <w:r>
        <w:rPr>
          <w:lang w:val="en-US"/>
        </w:rPr>
        <w:t>DE BU</w:t>
      </w:r>
      <w:r w:rsidRPr="000C0440">
        <w:rPr>
          <w:lang w:val="en-US"/>
        </w:rPr>
        <w:t xml:space="preserve">RCA, G., “The Trajectories of European and American Antidiscrimination Law”, </w:t>
      </w:r>
      <w:r w:rsidRPr="000C0440">
        <w:rPr>
          <w:i/>
          <w:lang w:val="en-US"/>
        </w:rPr>
        <w:t>American Journal of Comparative Law</w:t>
      </w:r>
      <w:r w:rsidRPr="00400A6A">
        <w:rPr>
          <w:lang w:val="en-US"/>
        </w:rPr>
        <w:t xml:space="preserve">, </w:t>
      </w:r>
      <w:proofErr w:type="spellStart"/>
      <w:r w:rsidRPr="00400A6A">
        <w:rPr>
          <w:lang w:val="en-US"/>
        </w:rPr>
        <w:t>núm</w:t>
      </w:r>
      <w:proofErr w:type="spellEnd"/>
      <w:r w:rsidRPr="00400A6A">
        <w:rPr>
          <w:lang w:val="en-US"/>
        </w:rPr>
        <w:t xml:space="preserve">. </w:t>
      </w:r>
      <w:proofErr w:type="gramStart"/>
      <w:r w:rsidRPr="00400A6A">
        <w:rPr>
          <w:lang w:val="en-US"/>
        </w:rPr>
        <w:t xml:space="preserve">60, vol. 1, 2012, </w:t>
      </w:r>
      <w:proofErr w:type="spellStart"/>
      <w:r w:rsidRPr="00400A6A">
        <w:rPr>
          <w:lang w:val="en-US"/>
        </w:rPr>
        <w:t>págs</w:t>
      </w:r>
      <w:proofErr w:type="spellEnd"/>
      <w:r w:rsidRPr="00400A6A">
        <w:rPr>
          <w:lang w:val="en-US"/>
        </w:rPr>
        <w:t>.</w:t>
      </w:r>
      <w:proofErr w:type="gramEnd"/>
      <w:r w:rsidRPr="00400A6A">
        <w:rPr>
          <w:lang w:val="en-US"/>
        </w:rPr>
        <w:t xml:space="preserve"> 1-22. </w:t>
      </w:r>
    </w:p>
  </w:footnote>
  <w:footnote w:id="10">
    <w:p w:rsidR="00B67B13" w:rsidRPr="00556A05" w:rsidRDefault="00B67B13" w:rsidP="00A16672">
      <w:pPr>
        <w:pStyle w:val="Textonotapie"/>
        <w:spacing w:after="0" w:line="240" w:lineRule="auto"/>
        <w:jc w:val="both"/>
        <w:rPr>
          <w:rFonts w:cs="Calibri"/>
        </w:rPr>
      </w:pPr>
      <w:r w:rsidRPr="00FF6FB0">
        <w:rPr>
          <w:rStyle w:val="Refdenotaalpie"/>
          <w:rFonts w:cs="Calibri"/>
        </w:rPr>
        <w:footnoteRef/>
      </w:r>
      <w:r w:rsidRPr="00400A6A">
        <w:rPr>
          <w:rFonts w:cs="Calibri"/>
          <w:lang w:val="en-US"/>
        </w:rPr>
        <w:t xml:space="preserve"> Para </w:t>
      </w:r>
      <w:proofErr w:type="gramStart"/>
      <w:r w:rsidRPr="00400A6A">
        <w:rPr>
          <w:rFonts w:cs="Calibri"/>
          <w:lang w:val="en-US"/>
        </w:rPr>
        <w:t>un</w:t>
      </w:r>
      <w:proofErr w:type="gramEnd"/>
      <w:r w:rsidRPr="00400A6A">
        <w:rPr>
          <w:rFonts w:cs="Calibri"/>
          <w:lang w:val="en-US"/>
        </w:rPr>
        <w:t xml:space="preserve"> </w:t>
      </w:r>
      <w:proofErr w:type="spellStart"/>
      <w:r w:rsidRPr="00400A6A">
        <w:rPr>
          <w:rFonts w:cs="Calibri"/>
          <w:lang w:val="en-US"/>
        </w:rPr>
        <w:t>estudio</w:t>
      </w:r>
      <w:proofErr w:type="spellEnd"/>
      <w:r w:rsidRPr="00400A6A">
        <w:rPr>
          <w:rFonts w:cs="Calibri"/>
          <w:lang w:val="en-US"/>
        </w:rPr>
        <w:t xml:space="preserve"> en </w:t>
      </w:r>
      <w:proofErr w:type="spellStart"/>
      <w:r w:rsidRPr="00400A6A">
        <w:rPr>
          <w:rFonts w:cs="Calibri"/>
          <w:lang w:val="en-US"/>
        </w:rPr>
        <w:t>profundidad</w:t>
      </w:r>
      <w:proofErr w:type="spellEnd"/>
      <w:r w:rsidRPr="00400A6A">
        <w:rPr>
          <w:rFonts w:cs="Calibri"/>
          <w:lang w:val="en-US"/>
        </w:rPr>
        <w:t xml:space="preserve"> del </w:t>
      </w:r>
      <w:proofErr w:type="spellStart"/>
      <w:r w:rsidRPr="00400A6A">
        <w:rPr>
          <w:rFonts w:cs="Calibri"/>
          <w:lang w:val="en-US"/>
        </w:rPr>
        <w:t>contenido</w:t>
      </w:r>
      <w:proofErr w:type="spellEnd"/>
      <w:r w:rsidRPr="00400A6A">
        <w:rPr>
          <w:rFonts w:cs="Calibri"/>
          <w:lang w:val="en-US"/>
        </w:rPr>
        <w:t xml:space="preserve"> de la </w:t>
      </w:r>
      <w:proofErr w:type="spellStart"/>
      <w:r w:rsidRPr="00400A6A">
        <w:rPr>
          <w:rFonts w:cs="Calibri"/>
          <w:lang w:val="en-US"/>
        </w:rPr>
        <w:t>Convención</w:t>
      </w:r>
      <w:proofErr w:type="spellEnd"/>
      <w:r w:rsidRPr="00400A6A">
        <w:rPr>
          <w:rFonts w:cs="Calibri"/>
          <w:lang w:val="en-US"/>
        </w:rPr>
        <w:t xml:space="preserve">, </w:t>
      </w:r>
      <w:proofErr w:type="spellStart"/>
      <w:r w:rsidRPr="00400A6A">
        <w:rPr>
          <w:rFonts w:cs="Calibri"/>
          <w:lang w:val="en-US"/>
        </w:rPr>
        <w:t>véase</w:t>
      </w:r>
      <w:proofErr w:type="spellEnd"/>
      <w:r w:rsidRPr="00400A6A">
        <w:rPr>
          <w:rFonts w:cs="Calibri"/>
          <w:lang w:val="en-US"/>
        </w:rPr>
        <w:t xml:space="preserve"> SCHULZE, M., </w:t>
      </w:r>
      <w:r w:rsidRPr="000C0440">
        <w:rPr>
          <w:rFonts w:cs="Calibri"/>
          <w:i/>
          <w:lang w:val="en-US"/>
        </w:rPr>
        <w:t xml:space="preserve">Understanding the UN Convention on the Rights of Persons with Disabilities. </w:t>
      </w:r>
      <w:proofErr w:type="gramStart"/>
      <w:r w:rsidRPr="000C0440">
        <w:rPr>
          <w:rFonts w:cs="Calibri"/>
          <w:i/>
          <w:lang w:val="en-US"/>
        </w:rPr>
        <w:t>A Handbook on the Human Rights of Personas with Disabilities</w:t>
      </w:r>
      <w:r w:rsidRPr="00400A6A">
        <w:rPr>
          <w:rFonts w:cs="Calibri"/>
          <w:i/>
          <w:lang w:val="en-US"/>
        </w:rPr>
        <w:t>.</w:t>
      </w:r>
      <w:proofErr w:type="gramEnd"/>
      <w:r w:rsidR="00556A05">
        <w:rPr>
          <w:rFonts w:cs="Calibri"/>
          <w:i/>
          <w:lang w:val="en-US"/>
        </w:rPr>
        <w:t xml:space="preserve"> </w:t>
      </w:r>
      <w:proofErr w:type="spellStart"/>
      <w:r w:rsidRPr="00556A05">
        <w:rPr>
          <w:rFonts w:cs="Calibri"/>
        </w:rPr>
        <w:t>Handicap</w:t>
      </w:r>
      <w:proofErr w:type="spellEnd"/>
      <w:r w:rsidRPr="00556A05">
        <w:rPr>
          <w:rFonts w:cs="Calibri"/>
        </w:rPr>
        <w:t xml:space="preserve"> International, 2010, Nueva York,  que puede ser consultado en acceso abierto en: http://www.hiproweb.org/uploads/tx_hidrtdocs/HICRPDManual2010.pdf  </w:t>
      </w:r>
    </w:p>
  </w:footnote>
  <w:footnote w:id="11">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i/>
        </w:rPr>
        <w:t>Vid.</w:t>
      </w:r>
      <w:r w:rsidRPr="00FF6FB0">
        <w:rPr>
          <w:rFonts w:cs="Calibri"/>
        </w:rPr>
        <w:t xml:space="preserve"> PALACIOS, A. Y BARIFFI, F, </w:t>
      </w:r>
      <w:r w:rsidRPr="00FF6FB0">
        <w:rPr>
          <w:rFonts w:cs="Calibri"/>
          <w:i/>
        </w:rPr>
        <w:t>La discapacidad como una cuestión de derechos humanos. Una aproximación a la Convención Internacional sobre los derechos de las personas con discapacidad</w:t>
      </w:r>
      <w:r w:rsidRPr="00FF6FB0">
        <w:rPr>
          <w:rFonts w:cs="Calibri"/>
        </w:rPr>
        <w:t xml:space="preserve">, Cinca, Colección telefónica accesible, Madrid, 2007; DE ASSIS ROIG, R., </w:t>
      </w:r>
      <w:r w:rsidRPr="00FF6FB0">
        <w:rPr>
          <w:rFonts w:cs="Calibri"/>
          <w:i/>
        </w:rPr>
        <w:t>“</w:t>
      </w:r>
      <w:r w:rsidRPr="00FF6FB0">
        <w:rPr>
          <w:rFonts w:cs="Calibri"/>
        </w:rPr>
        <w:t xml:space="preserve">Derechos Humanos y Discapacidad” en JIMÉNEZ, E. (Coord.), </w:t>
      </w:r>
      <w:r w:rsidRPr="00FF6FB0">
        <w:rPr>
          <w:rFonts w:cs="Calibri"/>
          <w:i/>
          <w:iCs/>
        </w:rPr>
        <w:t xml:space="preserve">Igualdad, no discriminación y discapacidad, </w:t>
      </w:r>
      <w:proofErr w:type="spellStart"/>
      <w:r w:rsidRPr="00FF6FB0">
        <w:rPr>
          <w:rFonts w:cs="Calibri"/>
        </w:rPr>
        <w:t>Ediar-Dykinson</w:t>
      </w:r>
      <w:proofErr w:type="spellEnd"/>
      <w:r w:rsidRPr="00FF6FB0">
        <w:rPr>
          <w:rFonts w:cs="Calibri"/>
        </w:rPr>
        <w:t>, Buenos Aires,</w:t>
      </w:r>
    </w:p>
    <w:p w:rsidR="00B67B13" w:rsidRPr="00FF6FB0" w:rsidRDefault="00B67B13" w:rsidP="00A16672">
      <w:pPr>
        <w:pStyle w:val="Textonotapie"/>
        <w:spacing w:after="0" w:line="240" w:lineRule="auto"/>
        <w:jc w:val="both"/>
        <w:rPr>
          <w:rFonts w:cs="Calibri"/>
        </w:rPr>
      </w:pPr>
      <w:r w:rsidRPr="00FF6FB0">
        <w:rPr>
          <w:rFonts w:cs="Calibri"/>
        </w:rPr>
        <w:t xml:space="preserve">2006; TRÖMEL, S, “Hacia un derecho internacional de la discapacidad” en PÉREZ BUENO, L.C. (Dir.), </w:t>
      </w:r>
      <w:r w:rsidRPr="00FF6FB0">
        <w:rPr>
          <w:rFonts w:cs="Calibri"/>
          <w:i/>
        </w:rPr>
        <w:t>Hacia un derecho de la discapacidad. Estudios en homenaje al profesor Rafael de Lorenzo</w:t>
      </w:r>
      <w:r w:rsidRPr="00FF6FB0">
        <w:rPr>
          <w:rFonts w:cs="Calibri"/>
        </w:rPr>
        <w:t>., Aranzadi, Navarra, 2009, pág. 1063; KAYESS, R. y FRENCH, P., “</w:t>
      </w:r>
      <w:proofErr w:type="spellStart"/>
      <w:r w:rsidRPr="00400A6A">
        <w:rPr>
          <w:rFonts w:cs="Calibri"/>
        </w:rPr>
        <w:t>Out</w:t>
      </w:r>
      <w:proofErr w:type="spellEnd"/>
      <w:r w:rsidRPr="00400A6A">
        <w:rPr>
          <w:rFonts w:cs="Calibri"/>
        </w:rPr>
        <w:t xml:space="preserve"> of </w:t>
      </w:r>
      <w:proofErr w:type="spellStart"/>
      <w:r w:rsidRPr="00400A6A">
        <w:rPr>
          <w:rFonts w:cs="Calibri"/>
        </w:rPr>
        <w:t>Darkness</w:t>
      </w:r>
      <w:proofErr w:type="spellEnd"/>
      <w:r w:rsidRPr="00400A6A">
        <w:rPr>
          <w:rFonts w:cs="Calibri"/>
        </w:rPr>
        <w:t xml:space="preserve">…, </w:t>
      </w:r>
      <w:proofErr w:type="spellStart"/>
      <w:r w:rsidRPr="00400A6A">
        <w:rPr>
          <w:rFonts w:cs="Calibri"/>
          <w:i/>
        </w:rPr>
        <w:t>op</w:t>
      </w:r>
      <w:proofErr w:type="spellEnd"/>
      <w:r w:rsidRPr="00400A6A">
        <w:rPr>
          <w:rFonts w:cs="Calibri"/>
          <w:i/>
        </w:rPr>
        <w:t>. cit.</w:t>
      </w:r>
      <w:r w:rsidRPr="00FF6FB0">
        <w:rPr>
          <w:rFonts w:cs="Calibri"/>
        </w:rPr>
        <w:t>, pág. 2-3.</w:t>
      </w:r>
    </w:p>
  </w:footnote>
  <w:footnote w:id="12">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i/>
        </w:rPr>
        <w:t>Vid.</w:t>
      </w:r>
      <w:r>
        <w:rPr>
          <w:rFonts w:cs="Calibri"/>
        </w:rPr>
        <w:t xml:space="preserve"> DE LORENZO, R., “Los contornos…”, </w:t>
      </w:r>
      <w:proofErr w:type="spellStart"/>
      <w:r>
        <w:rPr>
          <w:rFonts w:cs="Calibri"/>
          <w:i/>
        </w:rPr>
        <w:t>op</w:t>
      </w:r>
      <w:proofErr w:type="spellEnd"/>
      <w:r>
        <w:rPr>
          <w:rFonts w:cs="Calibri"/>
          <w:i/>
        </w:rPr>
        <w:t>. cit.</w:t>
      </w:r>
      <w:r>
        <w:rPr>
          <w:rFonts w:cs="Calibri"/>
        </w:rPr>
        <w:t xml:space="preserve">, </w:t>
      </w:r>
      <w:r w:rsidRPr="00FF6FB0">
        <w:rPr>
          <w:rFonts w:cs="Calibri"/>
        </w:rPr>
        <w:t>pág. 74.</w:t>
      </w:r>
    </w:p>
  </w:footnote>
  <w:footnote w:id="13">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i/>
        </w:rPr>
        <w:t>Vid.</w:t>
      </w:r>
      <w:r w:rsidRPr="00FF6FB0">
        <w:rPr>
          <w:rFonts w:cs="Calibri"/>
        </w:rPr>
        <w:t xml:space="preserve"> COURTIS, C., “Los derechos de las personas</w:t>
      </w:r>
      <w:r>
        <w:rPr>
          <w:rFonts w:cs="Calibri"/>
        </w:rPr>
        <w:t xml:space="preserve">...”, </w:t>
      </w:r>
      <w:proofErr w:type="spellStart"/>
      <w:r>
        <w:rPr>
          <w:rFonts w:cs="Calibri"/>
          <w:i/>
        </w:rPr>
        <w:t>op</w:t>
      </w:r>
      <w:proofErr w:type="spellEnd"/>
      <w:r>
        <w:rPr>
          <w:rFonts w:cs="Calibri"/>
          <w:i/>
        </w:rPr>
        <w:t xml:space="preserve">. cit., </w:t>
      </w:r>
      <w:r w:rsidRPr="00FF6FB0">
        <w:rPr>
          <w:rFonts w:cs="Calibri"/>
        </w:rPr>
        <w:t>pág. 306;  CUENCA GÓMEZ, P., “</w:t>
      </w:r>
      <w:r w:rsidRPr="00FF6FB0">
        <w:rPr>
          <w:rFonts w:cs="Calibri"/>
          <w:i/>
        </w:rPr>
        <w:t>Los derechos fundamentales</w:t>
      </w:r>
      <w:r>
        <w:rPr>
          <w:rFonts w:cs="Calibri"/>
          <w:i/>
        </w:rPr>
        <w:t>…”</w:t>
      </w:r>
      <w:r>
        <w:rPr>
          <w:rFonts w:cs="Calibri"/>
        </w:rPr>
        <w:t xml:space="preserve">, </w:t>
      </w:r>
      <w:proofErr w:type="spellStart"/>
      <w:r>
        <w:rPr>
          <w:rFonts w:cs="Calibri"/>
          <w:i/>
        </w:rPr>
        <w:t>op</w:t>
      </w:r>
      <w:proofErr w:type="spellEnd"/>
      <w:r>
        <w:rPr>
          <w:rFonts w:cs="Calibri"/>
          <w:i/>
        </w:rPr>
        <w:t xml:space="preserve">. </w:t>
      </w:r>
      <w:proofErr w:type="spellStart"/>
      <w:r>
        <w:rPr>
          <w:rFonts w:cs="Calibri"/>
          <w:i/>
        </w:rPr>
        <w:t>cit.</w:t>
      </w:r>
      <w:proofErr w:type="gramStart"/>
      <w:r>
        <w:rPr>
          <w:rFonts w:cs="Calibri"/>
        </w:rPr>
        <w:t>,</w:t>
      </w:r>
      <w:r w:rsidRPr="00400A6A">
        <w:rPr>
          <w:rFonts w:cs="Calibri"/>
        </w:rPr>
        <w:t>pág</w:t>
      </w:r>
      <w:proofErr w:type="spellEnd"/>
      <w:proofErr w:type="gramEnd"/>
      <w:r w:rsidRPr="00400A6A">
        <w:rPr>
          <w:rFonts w:cs="Calibri"/>
        </w:rPr>
        <w:t>. 26;</w:t>
      </w:r>
      <w:r w:rsidRPr="00FF6FB0">
        <w:rPr>
          <w:rFonts w:cs="Calibri"/>
        </w:rPr>
        <w:t xml:space="preserve"> DE LORENZO, R. “Los contornos</w:t>
      </w:r>
      <w:r>
        <w:rPr>
          <w:rFonts w:cs="Calibri"/>
        </w:rPr>
        <w:t xml:space="preserve">...”, </w:t>
      </w:r>
      <w:proofErr w:type="spellStart"/>
      <w:r>
        <w:rPr>
          <w:rFonts w:cs="Calibri"/>
          <w:i/>
        </w:rPr>
        <w:t>op</w:t>
      </w:r>
      <w:proofErr w:type="spellEnd"/>
      <w:r>
        <w:rPr>
          <w:rFonts w:cs="Calibri"/>
          <w:i/>
        </w:rPr>
        <w:t>. cit.</w:t>
      </w:r>
      <w:r>
        <w:rPr>
          <w:rFonts w:cs="Calibri"/>
        </w:rPr>
        <w:t>, pág. 71;</w:t>
      </w:r>
      <w:r w:rsidRPr="00FF6FB0">
        <w:rPr>
          <w:rFonts w:cs="Calibri"/>
        </w:rPr>
        <w:t xml:space="preserve"> KETT, M. </w:t>
      </w:r>
      <w:r w:rsidRPr="00FF6FB0">
        <w:rPr>
          <w:rFonts w:cs="Calibri"/>
          <w:i/>
        </w:rPr>
        <w:t>et al.</w:t>
      </w:r>
      <w:r w:rsidRPr="00FF6FB0">
        <w:rPr>
          <w:rFonts w:cs="Calibri"/>
        </w:rPr>
        <w:t>, “</w:t>
      </w:r>
      <w:proofErr w:type="spellStart"/>
      <w:r w:rsidRPr="00400A6A">
        <w:rPr>
          <w:rFonts w:cs="Calibri"/>
        </w:rPr>
        <w:t>Disability</w:t>
      </w:r>
      <w:proofErr w:type="spellEnd"/>
      <w:r w:rsidRPr="00400A6A">
        <w:rPr>
          <w:rFonts w:cs="Calibri"/>
        </w:rPr>
        <w:t xml:space="preserve">, </w:t>
      </w:r>
      <w:proofErr w:type="spellStart"/>
      <w:r w:rsidRPr="00400A6A">
        <w:rPr>
          <w:rFonts w:cs="Calibri"/>
        </w:rPr>
        <w:t>Development</w:t>
      </w:r>
      <w:proofErr w:type="spellEnd"/>
      <w:r w:rsidRPr="00400A6A">
        <w:rPr>
          <w:rFonts w:cs="Calibri"/>
        </w:rPr>
        <w:t xml:space="preserve"> and </w:t>
      </w:r>
      <w:proofErr w:type="spellStart"/>
      <w:r w:rsidRPr="00400A6A">
        <w:rPr>
          <w:rFonts w:cs="Calibri"/>
        </w:rPr>
        <w:t>the</w:t>
      </w:r>
      <w:proofErr w:type="spellEnd"/>
      <w:r w:rsidRPr="00400A6A">
        <w:rPr>
          <w:rFonts w:cs="Calibri"/>
        </w:rPr>
        <w:t xml:space="preserve"> </w:t>
      </w:r>
      <w:proofErr w:type="spellStart"/>
      <w:r w:rsidRPr="00400A6A">
        <w:rPr>
          <w:rFonts w:cs="Calibri"/>
        </w:rPr>
        <w:t>Dawning</w:t>
      </w:r>
      <w:proofErr w:type="spellEnd"/>
      <w:r w:rsidRPr="00400A6A">
        <w:rPr>
          <w:rFonts w:cs="Calibri"/>
        </w:rPr>
        <w:t xml:space="preserve"> of a New </w:t>
      </w:r>
      <w:proofErr w:type="spellStart"/>
      <w:r w:rsidRPr="00400A6A">
        <w:rPr>
          <w:rFonts w:cs="Calibri"/>
        </w:rPr>
        <w:t>Convention</w:t>
      </w:r>
      <w:proofErr w:type="spellEnd"/>
      <w:r w:rsidRPr="00400A6A">
        <w:rPr>
          <w:rFonts w:cs="Calibri"/>
        </w:rPr>
        <w:t xml:space="preserve">: A Cause </w:t>
      </w:r>
      <w:proofErr w:type="spellStart"/>
      <w:r w:rsidRPr="00400A6A">
        <w:rPr>
          <w:rFonts w:cs="Calibri"/>
        </w:rPr>
        <w:t>for</w:t>
      </w:r>
      <w:proofErr w:type="spellEnd"/>
      <w:r w:rsidRPr="00400A6A">
        <w:rPr>
          <w:rFonts w:cs="Calibri"/>
        </w:rPr>
        <w:t xml:space="preserve"> </w:t>
      </w:r>
      <w:proofErr w:type="spellStart"/>
      <w:r w:rsidRPr="00400A6A">
        <w:rPr>
          <w:rFonts w:cs="Calibri"/>
        </w:rPr>
        <w:t>Optimism</w:t>
      </w:r>
      <w:proofErr w:type="spellEnd"/>
      <w:r w:rsidRPr="00400A6A">
        <w:rPr>
          <w:rFonts w:cs="Calibri"/>
        </w:rPr>
        <w:t xml:space="preserve">?”, </w:t>
      </w:r>
      <w:proofErr w:type="spellStart"/>
      <w:r w:rsidRPr="00400A6A">
        <w:rPr>
          <w:rFonts w:cs="Calibri"/>
          <w:i/>
        </w:rPr>
        <w:t>Journal</w:t>
      </w:r>
      <w:proofErr w:type="spellEnd"/>
      <w:r w:rsidRPr="00400A6A">
        <w:rPr>
          <w:rFonts w:cs="Calibri"/>
          <w:i/>
        </w:rPr>
        <w:t xml:space="preserve"> of International </w:t>
      </w:r>
      <w:proofErr w:type="spellStart"/>
      <w:r w:rsidRPr="00400A6A">
        <w:rPr>
          <w:rFonts w:cs="Calibri"/>
          <w:i/>
        </w:rPr>
        <w:t>Development</w:t>
      </w:r>
      <w:proofErr w:type="spellEnd"/>
      <w:r w:rsidRPr="00FF6FB0">
        <w:rPr>
          <w:rFonts w:cs="Calibri"/>
        </w:rPr>
        <w:t>, núm. 21, 2009, pág. 658.</w:t>
      </w:r>
    </w:p>
  </w:footnote>
  <w:footnote w:id="1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i/>
        </w:rPr>
        <w:t>Vid.</w:t>
      </w:r>
      <w:r w:rsidRPr="00FF6FB0">
        <w:rPr>
          <w:rFonts w:cs="Calibri"/>
        </w:rPr>
        <w:t xml:space="preserve"> PALACIOS</w:t>
      </w:r>
      <w:proofErr w:type="gramStart"/>
      <w:r w:rsidRPr="00FF6FB0">
        <w:rPr>
          <w:rFonts w:cs="Calibri"/>
        </w:rPr>
        <w:t>,A</w:t>
      </w:r>
      <w:proofErr w:type="gramEnd"/>
      <w:r w:rsidRPr="00FF6FB0">
        <w:rPr>
          <w:rFonts w:cs="Calibri"/>
        </w:rPr>
        <w:t xml:space="preserve">., “La progresiva recepción del modelo social de la discapacidad en la legislación española” en PÉREZ BUENO, L.C. (Dir.), </w:t>
      </w:r>
      <w:r w:rsidRPr="00FF6FB0">
        <w:rPr>
          <w:rFonts w:cs="Calibri"/>
          <w:i/>
        </w:rPr>
        <w:t>Hacia un derecho de la discapacidad. Estudios en homenaje al profesor Rafael de Lorenzo</w:t>
      </w:r>
      <w:r w:rsidRPr="00FF6FB0">
        <w:rPr>
          <w:rFonts w:cs="Calibri"/>
        </w:rPr>
        <w:t xml:space="preserve">., Aranzadi, Navarra, 2009,  pág. 173. </w:t>
      </w:r>
    </w:p>
  </w:footnote>
  <w:footnote w:id="15">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Así, por ejemplo, el artículo 14 de la Convención incluye la realización de ajustes razonables en el ámbito penitenciario y el artículo 24 de la Convención incluye asimismo dicha obligación en el ámbito educativo. </w:t>
      </w:r>
    </w:p>
  </w:footnote>
  <w:footnote w:id="16">
    <w:p w:rsidR="00B67B13" w:rsidRPr="00FF6FB0" w:rsidRDefault="00B67B13" w:rsidP="00A16672">
      <w:pPr>
        <w:pStyle w:val="Textonotapie"/>
        <w:spacing w:after="0" w:line="240" w:lineRule="auto"/>
        <w:jc w:val="both"/>
        <w:rPr>
          <w:rFonts w:cs="Calibri"/>
          <w:highlight w:val="yellow"/>
        </w:rPr>
      </w:pPr>
      <w:r w:rsidRPr="00FF6FB0">
        <w:rPr>
          <w:rStyle w:val="Refdenotaalpie"/>
          <w:rFonts w:cs="Calibri"/>
        </w:rPr>
        <w:footnoteRef/>
      </w:r>
      <w:r w:rsidRPr="00FF6FB0">
        <w:rPr>
          <w:rFonts w:cs="Calibri"/>
        </w:rPr>
        <w:t xml:space="preserve"> La presencia de los ajustes razonables se aprecia por primera vez en las Normas Uniformes pero la eficacia de esta norma no permite afirmar que nos encontremos ante una obligación </w:t>
      </w:r>
      <w:r w:rsidRPr="00FF6FB0">
        <w:rPr>
          <w:rFonts w:cs="Calibri"/>
          <w:i/>
        </w:rPr>
        <w:t>stricto sensu</w:t>
      </w:r>
      <w:r w:rsidRPr="00FF6FB0">
        <w:rPr>
          <w:rFonts w:cs="Calibri"/>
        </w:rPr>
        <w:t xml:space="preserve">. Ciertamente, existieron referencias cercanas conceptualmente en resoluciones anteriores, tales como la obligación de acomodo del proceso formativo de la Resolución 1386, el derecho a la readaptación profesional de la Resolución 3447 o la aplicación de los principios ergonómicos para llevar a cabo la adaptación </w:t>
      </w:r>
      <w:r w:rsidRPr="00FF6FB0">
        <w:rPr>
          <w:rFonts w:cs="Calibri"/>
          <w:i/>
        </w:rPr>
        <w:t>ex</w:t>
      </w:r>
      <w:r w:rsidRPr="00FF6FB0">
        <w:rPr>
          <w:rFonts w:cs="Calibri"/>
        </w:rPr>
        <w:t xml:space="preserve"> Resolución 37/52, e incluso en los convenios OIT núm. 159 y la</w:t>
      </w:r>
      <w:r>
        <w:rPr>
          <w:rFonts w:cs="Calibri"/>
        </w:rPr>
        <w:t>s recomendaciones núm. 99 y 150</w:t>
      </w:r>
      <w:r w:rsidRPr="00FF6FB0">
        <w:rPr>
          <w:rFonts w:cs="Calibri"/>
        </w:rPr>
        <w:t>. Sin embargo, su presencia ha sido sumamente limitada y carente de una conceptualización sólida como la asumida por la Convención.</w:t>
      </w:r>
    </w:p>
  </w:footnote>
  <w:footnote w:id="17">
    <w:p w:rsidR="00B67B13" w:rsidRPr="00400A6A"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proofErr w:type="gramStart"/>
      <w:r w:rsidRPr="00400A6A">
        <w:rPr>
          <w:rFonts w:cs="Calibri"/>
          <w:i/>
          <w:lang w:val="en-US"/>
        </w:rPr>
        <w:t>Vid</w:t>
      </w:r>
      <w:proofErr w:type="spellEnd"/>
      <w:r w:rsidRPr="00400A6A">
        <w:rPr>
          <w:rFonts w:cs="Calibri"/>
          <w:i/>
          <w:lang w:val="en-US"/>
        </w:rPr>
        <w:t>.</w:t>
      </w:r>
      <w:r w:rsidRPr="00400A6A">
        <w:rPr>
          <w:rFonts w:cs="Calibri"/>
          <w:lang w:val="en-US"/>
        </w:rPr>
        <w:t xml:space="preserve"> HENDRIKS, A., “</w:t>
      </w:r>
      <w:r w:rsidRPr="00FF6FB0">
        <w:rPr>
          <w:rFonts w:cs="Calibri"/>
          <w:lang w:val="en-US"/>
        </w:rPr>
        <w:t xml:space="preserve">UN Convention on the Rights of Persons with Disabilities”, </w:t>
      </w:r>
      <w:r w:rsidRPr="00FF6FB0">
        <w:rPr>
          <w:rFonts w:cs="Calibri"/>
          <w:i/>
          <w:lang w:val="en-US"/>
        </w:rPr>
        <w:t>European Journal of Health Law</w:t>
      </w:r>
      <w:r w:rsidRPr="00400A6A">
        <w:rPr>
          <w:rFonts w:cs="Calibri"/>
          <w:lang w:val="en-US"/>
        </w:rPr>
        <w:t xml:space="preserve">, </w:t>
      </w:r>
      <w:proofErr w:type="spellStart"/>
      <w:r w:rsidRPr="00400A6A">
        <w:rPr>
          <w:rFonts w:cs="Calibri"/>
          <w:lang w:val="en-US"/>
        </w:rPr>
        <w:t>núm</w:t>
      </w:r>
      <w:proofErr w:type="spellEnd"/>
      <w:r w:rsidRPr="00400A6A">
        <w:rPr>
          <w:rFonts w:cs="Calibri"/>
          <w:lang w:val="en-US"/>
        </w:rPr>
        <w:t>.</w:t>
      </w:r>
      <w:proofErr w:type="gramEnd"/>
      <w:r w:rsidRPr="00400A6A">
        <w:rPr>
          <w:rFonts w:cs="Calibri"/>
          <w:lang w:val="en-US"/>
        </w:rPr>
        <w:t xml:space="preserve"> </w:t>
      </w:r>
      <w:proofErr w:type="gramStart"/>
      <w:r w:rsidRPr="00400A6A">
        <w:rPr>
          <w:rFonts w:cs="Calibri"/>
          <w:lang w:val="en-US"/>
        </w:rPr>
        <w:t xml:space="preserve">14, 2007, </w:t>
      </w:r>
      <w:proofErr w:type="spellStart"/>
      <w:r w:rsidRPr="00400A6A">
        <w:rPr>
          <w:rFonts w:cs="Calibri"/>
          <w:lang w:val="en-US"/>
        </w:rPr>
        <w:t>pág</w:t>
      </w:r>
      <w:proofErr w:type="spellEnd"/>
      <w:r w:rsidRPr="00400A6A">
        <w:rPr>
          <w:rFonts w:cs="Calibri"/>
          <w:lang w:val="en-US"/>
        </w:rPr>
        <w:t>.</w:t>
      </w:r>
      <w:proofErr w:type="gramEnd"/>
      <w:r w:rsidRPr="00400A6A">
        <w:rPr>
          <w:rFonts w:cs="Calibri"/>
          <w:lang w:val="en-US"/>
        </w:rPr>
        <w:t xml:space="preserve"> 277.</w:t>
      </w:r>
    </w:p>
  </w:footnote>
  <w:footnote w:id="18">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i/>
        </w:rPr>
        <w:t>Vid.</w:t>
      </w:r>
      <w:r w:rsidRPr="00FF6FB0">
        <w:rPr>
          <w:rFonts w:cs="Calibri"/>
        </w:rPr>
        <w:t xml:space="preserve"> Artículo 27.i de la Convención. </w:t>
      </w:r>
    </w:p>
  </w:footnote>
  <w:footnote w:id="19">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El artículo 2 de la Convención define como ajuste razonable “</w:t>
      </w:r>
      <w:r w:rsidRPr="00FF6FB0">
        <w:rPr>
          <w:rFonts w:cs="Calibri"/>
          <w:i/>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footnote>
  <w:footnote w:id="20">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El indicador más claro que sostiene esta tesis se halla en las referencias a la prestación de servicios en entornos abiertos, in</w:t>
      </w:r>
      <w:r>
        <w:rPr>
          <w:rFonts w:cs="Calibri"/>
        </w:rPr>
        <w:t xml:space="preserve">clusivos y accesibles, </w:t>
      </w:r>
      <w:r>
        <w:rPr>
          <w:rFonts w:cs="Calibri"/>
          <w:i/>
        </w:rPr>
        <w:t>ex</w:t>
      </w:r>
      <w:r w:rsidRPr="00FF6FB0">
        <w:rPr>
          <w:rFonts w:cs="Calibri"/>
        </w:rPr>
        <w:t xml:space="preserve"> artículo 27.1 primer párrafo de la Convención. </w:t>
      </w:r>
    </w:p>
  </w:footnote>
  <w:footnote w:id="21">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i/>
        </w:rPr>
        <w:t>Vid</w:t>
      </w:r>
      <w:r w:rsidRPr="00FF6FB0">
        <w:rPr>
          <w:rFonts w:cs="Calibri"/>
        </w:rPr>
        <w:t>.  Artículo  27.1.i</w:t>
      </w:r>
      <w:r>
        <w:rPr>
          <w:rFonts w:cs="Calibri"/>
        </w:rPr>
        <w:t xml:space="preserve"> de la</w:t>
      </w:r>
      <w:r w:rsidRPr="00FF6FB0">
        <w:rPr>
          <w:rFonts w:cs="Calibri"/>
        </w:rPr>
        <w:t xml:space="preserve"> Convención.</w:t>
      </w:r>
    </w:p>
  </w:footnote>
  <w:footnote w:id="22">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Concretamente, la Directiva se centra en las siguientes áreas: acceso al empleo y a la ocupación, promoción y formación profesionales, condiciones de contratación y trabajo, y pertenencia a determinadas organizaciones. No obstante, la aplicación de la Directiva  2000/78 no está prevista </w:t>
      </w:r>
      <w:r w:rsidRPr="00FF6FB0">
        <w:rPr>
          <w:rFonts w:cs="Calibri"/>
          <w:i/>
        </w:rPr>
        <w:t>a los pagos de cualquier tipo efectuados por los regímenes públicos o asimilados, incluidos los regímenes públicos de Seguridad Social o de protección social</w:t>
      </w:r>
      <w:r w:rsidRPr="00FF6FB0">
        <w:rPr>
          <w:rFonts w:cs="Calibri"/>
        </w:rPr>
        <w:t xml:space="preserve"> (art. 3.3), lo cual significa, tal y como ha indicado WHITTLE, R., “</w:t>
      </w:r>
      <w:proofErr w:type="spellStart"/>
      <w:r w:rsidRPr="00400A6A">
        <w:rPr>
          <w:rFonts w:cs="Calibri"/>
        </w:rPr>
        <w:t>The</w:t>
      </w:r>
      <w:proofErr w:type="spellEnd"/>
      <w:r w:rsidRPr="00400A6A">
        <w:rPr>
          <w:rFonts w:cs="Calibri"/>
        </w:rPr>
        <w:t xml:space="preserve"> Framework </w:t>
      </w:r>
      <w:proofErr w:type="spellStart"/>
      <w:r w:rsidRPr="00400A6A">
        <w:rPr>
          <w:rFonts w:cs="Calibri"/>
        </w:rPr>
        <w:t>Directive</w:t>
      </w:r>
      <w:proofErr w:type="spellEnd"/>
      <w:r w:rsidRPr="00400A6A">
        <w:rPr>
          <w:rFonts w:cs="Calibri"/>
        </w:rPr>
        <w:t xml:space="preserve"> </w:t>
      </w:r>
      <w:proofErr w:type="spellStart"/>
      <w:r w:rsidRPr="00400A6A">
        <w:rPr>
          <w:rFonts w:cs="Calibri"/>
        </w:rPr>
        <w:t>for</w:t>
      </w:r>
      <w:proofErr w:type="spellEnd"/>
      <w:r w:rsidRPr="00400A6A">
        <w:rPr>
          <w:rFonts w:cs="Calibri"/>
        </w:rPr>
        <w:t xml:space="preserve"> </w:t>
      </w:r>
      <w:proofErr w:type="spellStart"/>
      <w:r w:rsidRPr="00400A6A">
        <w:rPr>
          <w:rFonts w:cs="Calibri"/>
        </w:rPr>
        <w:t>Equal</w:t>
      </w:r>
      <w:proofErr w:type="spellEnd"/>
      <w:r w:rsidRPr="00400A6A">
        <w:rPr>
          <w:rFonts w:cs="Calibri"/>
        </w:rPr>
        <w:t xml:space="preserve"> </w:t>
      </w:r>
      <w:proofErr w:type="spellStart"/>
      <w:r w:rsidRPr="00400A6A">
        <w:rPr>
          <w:rFonts w:cs="Calibri"/>
        </w:rPr>
        <w:t>Treatment</w:t>
      </w:r>
      <w:proofErr w:type="spellEnd"/>
      <w:r w:rsidRPr="00400A6A">
        <w:rPr>
          <w:rFonts w:cs="Calibri"/>
        </w:rPr>
        <w:t xml:space="preserve"> in </w:t>
      </w:r>
      <w:proofErr w:type="spellStart"/>
      <w:r w:rsidRPr="00400A6A">
        <w:rPr>
          <w:rFonts w:cs="Calibri"/>
        </w:rPr>
        <w:t>Employment</w:t>
      </w:r>
      <w:proofErr w:type="spellEnd"/>
      <w:r w:rsidRPr="00400A6A">
        <w:rPr>
          <w:rFonts w:cs="Calibri"/>
        </w:rPr>
        <w:t xml:space="preserve"> and </w:t>
      </w:r>
      <w:proofErr w:type="spellStart"/>
      <w:r w:rsidRPr="00400A6A">
        <w:rPr>
          <w:rFonts w:cs="Calibri"/>
        </w:rPr>
        <w:t>Occupation</w:t>
      </w:r>
      <w:proofErr w:type="spellEnd"/>
      <w:r w:rsidRPr="00400A6A">
        <w:rPr>
          <w:rFonts w:cs="Calibri"/>
        </w:rPr>
        <w:t xml:space="preserve">: </w:t>
      </w:r>
      <w:proofErr w:type="spellStart"/>
      <w:r w:rsidRPr="00400A6A">
        <w:rPr>
          <w:rFonts w:cs="Calibri"/>
        </w:rPr>
        <w:t>Analysis</w:t>
      </w:r>
      <w:proofErr w:type="spellEnd"/>
      <w:r w:rsidRPr="00400A6A">
        <w:rPr>
          <w:rFonts w:cs="Calibri"/>
        </w:rPr>
        <w:t xml:space="preserve"> </w:t>
      </w:r>
      <w:proofErr w:type="spellStart"/>
      <w:r w:rsidRPr="00400A6A">
        <w:rPr>
          <w:rFonts w:cs="Calibri"/>
        </w:rPr>
        <w:t>from</w:t>
      </w:r>
      <w:proofErr w:type="spellEnd"/>
      <w:r w:rsidRPr="00400A6A">
        <w:rPr>
          <w:rFonts w:cs="Calibri"/>
        </w:rPr>
        <w:t xml:space="preserve"> a </w:t>
      </w:r>
      <w:proofErr w:type="spellStart"/>
      <w:r w:rsidRPr="00400A6A">
        <w:rPr>
          <w:rFonts w:cs="Calibri"/>
        </w:rPr>
        <w:t>Disability</w:t>
      </w:r>
      <w:proofErr w:type="spellEnd"/>
      <w:r w:rsidRPr="00400A6A">
        <w:rPr>
          <w:rFonts w:cs="Calibri"/>
        </w:rPr>
        <w:t xml:space="preserve"> </w:t>
      </w:r>
      <w:proofErr w:type="spellStart"/>
      <w:r w:rsidRPr="00400A6A">
        <w:rPr>
          <w:rFonts w:cs="Calibri"/>
        </w:rPr>
        <w:t>Rights</w:t>
      </w:r>
      <w:proofErr w:type="spellEnd"/>
      <w:r w:rsidRPr="00400A6A">
        <w:rPr>
          <w:rFonts w:cs="Calibri"/>
        </w:rPr>
        <w:t xml:space="preserve"> </w:t>
      </w:r>
      <w:proofErr w:type="spellStart"/>
      <w:r w:rsidRPr="00400A6A">
        <w:rPr>
          <w:rFonts w:cs="Calibri"/>
        </w:rPr>
        <w:t>Perspective</w:t>
      </w:r>
      <w:proofErr w:type="spellEnd"/>
      <w:r w:rsidRPr="00400A6A">
        <w:rPr>
          <w:rFonts w:cs="Calibri"/>
        </w:rPr>
        <w:t xml:space="preserve">”, </w:t>
      </w:r>
      <w:proofErr w:type="spellStart"/>
      <w:r w:rsidRPr="00400A6A">
        <w:rPr>
          <w:rFonts w:cs="Calibri"/>
          <w:i/>
        </w:rPr>
        <w:t>European</w:t>
      </w:r>
      <w:proofErr w:type="spellEnd"/>
      <w:r w:rsidRPr="00400A6A">
        <w:rPr>
          <w:rFonts w:cs="Calibri"/>
          <w:i/>
        </w:rPr>
        <w:t xml:space="preserve"> </w:t>
      </w:r>
      <w:proofErr w:type="spellStart"/>
      <w:r w:rsidRPr="00400A6A">
        <w:rPr>
          <w:rFonts w:cs="Calibri"/>
          <w:i/>
        </w:rPr>
        <w:t>Law</w:t>
      </w:r>
      <w:proofErr w:type="spellEnd"/>
      <w:r w:rsidRPr="00400A6A">
        <w:rPr>
          <w:rFonts w:cs="Calibri"/>
          <w:i/>
        </w:rPr>
        <w:t xml:space="preserve"> </w:t>
      </w:r>
      <w:proofErr w:type="spellStart"/>
      <w:r w:rsidRPr="00400A6A">
        <w:rPr>
          <w:rFonts w:cs="Calibri"/>
          <w:i/>
        </w:rPr>
        <w:t>Review</w:t>
      </w:r>
      <w:proofErr w:type="spellEnd"/>
      <w:r w:rsidRPr="00400A6A">
        <w:rPr>
          <w:rFonts w:cs="Calibri"/>
        </w:rPr>
        <w:t>,</w:t>
      </w:r>
      <w:r w:rsidRPr="00FF6FB0">
        <w:rPr>
          <w:rFonts w:cs="Calibri"/>
        </w:rPr>
        <w:t xml:space="preserve"> vol. 27, núm. 3, 2002, pág. 12 versión electrónica, la exclusión de su aplicación en el empleo protegido, debido a la percepciones de ayudas públicas destinadas al desarrollo de la actividad. </w:t>
      </w:r>
    </w:p>
  </w:footnote>
  <w:footnote w:id="23">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Tal y como señala WHITTLE, R.,</w:t>
      </w:r>
      <w:r w:rsidR="009E5051">
        <w:rPr>
          <w:rFonts w:cs="Calibri"/>
        </w:rPr>
        <w:t xml:space="preserve"> </w:t>
      </w:r>
      <w:proofErr w:type="spellStart"/>
      <w:r>
        <w:rPr>
          <w:rFonts w:cs="Calibri"/>
          <w:i/>
        </w:rPr>
        <w:t>Ibid.</w:t>
      </w:r>
      <w:proofErr w:type="spellEnd"/>
      <w:r>
        <w:rPr>
          <w:rFonts w:cs="Calibri"/>
          <w:i/>
        </w:rPr>
        <w:t xml:space="preserve">, </w:t>
      </w:r>
      <w:r w:rsidRPr="00FF6FB0">
        <w:rPr>
          <w:rFonts w:cs="Calibri"/>
        </w:rPr>
        <w:t>pág. 2 versión electrónica, la Directiva alienta a los Estados Miembro a ampliar la aplicación del principio de igualdad de trato a ámbitos distintos al empleo.</w:t>
      </w:r>
    </w:p>
  </w:footnote>
  <w:footnote w:id="2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La única de las causas que no comparte la Directiva 2000/78 y el ya citado artículo 13 del Tratado constitutivo es el sexo. El texto inicial, integrado en la Propuesta de Directiva del Consejo relativa al establecimiento de un marco general para la igualdad de trato en el empleo y la ocupación (COM/99/0565 final), justifica su exclusión en la omnipresencia de la lucha contra las desigualdades vinculadas al sexo que se deriva de los artículos 2 y 3 del Tratado, y reconoce la distinta afectación en hombres y mujeres de las causas de discriminación contempladas. </w:t>
      </w:r>
    </w:p>
  </w:footnote>
  <w:footnote w:id="25">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Sobre esta cuestión, el apartado 3.2 de la Propuesta de Directiva del Consejo relativa al establecimiento de un marco general para la igualdad de trato en el empleo y la ocupación (COM /99/0565 final) constata la importancia de la ausencia de una jerarquía cualitativa entre las causas de discriminación en aquellos supuestos en los que exista discriminación múltiple, entendiendo que dicho planteamiento es coherente con la estructura y propósito enunciado en el artículo 13 Tratado constitutivo de la Comunidad Europea (versión consolidada Ámsterdam).P</w:t>
      </w:r>
      <w:r>
        <w:rPr>
          <w:rFonts w:cs="Calibri"/>
        </w:rPr>
        <w:t xml:space="preserve">ara </w:t>
      </w:r>
      <w:r w:rsidRPr="00FF6FB0">
        <w:rPr>
          <w:rFonts w:cs="Calibri"/>
        </w:rPr>
        <w:t>un</w:t>
      </w:r>
      <w:r w:rsidR="004131C1">
        <w:rPr>
          <w:rFonts w:cs="Calibri"/>
        </w:rPr>
        <w:t xml:space="preserve"> </w:t>
      </w:r>
      <w:r w:rsidRPr="00FF6FB0">
        <w:rPr>
          <w:rFonts w:cs="Calibri"/>
        </w:rPr>
        <w:t>análisis</w:t>
      </w:r>
      <w:r w:rsidR="004131C1">
        <w:rPr>
          <w:rFonts w:cs="Calibri"/>
        </w:rPr>
        <w:t xml:space="preserve"> </w:t>
      </w:r>
      <w:r w:rsidRPr="00FF6FB0">
        <w:rPr>
          <w:rFonts w:cs="Calibri"/>
        </w:rPr>
        <w:t>sobre las relaciones entre las distintas</w:t>
      </w:r>
      <w:r w:rsidR="004131C1">
        <w:rPr>
          <w:rFonts w:cs="Calibri"/>
        </w:rPr>
        <w:t xml:space="preserve"> </w:t>
      </w:r>
      <w:r w:rsidRPr="00FF6FB0">
        <w:rPr>
          <w:rFonts w:cs="Calibri"/>
        </w:rPr>
        <w:t xml:space="preserve">causas de discriminación y la </w:t>
      </w:r>
      <w:proofErr w:type="spellStart"/>
      <w:r w:rsidRPr="00FF6FB0">
        <w:rPr>
          <w:rFonts w:cs="Calibri"/>
        </w:rPr>
        <w:t>interseccionalidad</w:t>
      </w:r>
      <w:proofErr w:type="spellEnd"/>
      <w:r w:rsidRPr="00FF6FB0">
        <w:rPr>
          <w:rFonts w:cs="Calibri"/>
        </w:rPr>
        <w:t xml:space="preserve">, véase </w:t>
      </w:r>
      <w:r w:rsidRPr="00400A6A">
        <w:rPr>
          <w:rFonts w:cs="Calibri"/>
        </w:rPr>
        <w:t>NEUVONEN, P., “</w:t>
      </w:r>
      <w:proofErr w:type="spellStart"/>
      <w:r w:rsidRPr="00400A6A">
        <w:rPr>
          <w:rFonts w:cs="Calibri"/>
        </w:rPr>
        <w:t>Inequality</w:t>
      </w:r>
      <w:proofErr w:type="spellEnd"/>
      <w:r w:rsidRPr="00400A6A">
        <w:rPr>
          <w:rFonts w:cs="Calibri"/>
        </w:rPr>
        <w:t xml:space="preserve"> in </w:t>
      </w:r>
      <w:proofErr w:type="spellStart"/>
      <w:r w:rsidRPr="00400A6A">
        <w:rPr>
          <w:rFonts w:cs="Calibri"/>
        </w:rPr>
        <w:t>Equality</w:t>
      </w:r>
      <w:proofErr w:type="spellEnd"/>
      <w:r w:rsidRPr="00400A6A">
        <w:rPr>
          <w:rFonts w:cs="Calibri"/>
        </w:rPr>
        <w:t xml:space="preserve"> in </w:t>
      </w:r>
      <w:proofErr w:type="spellStart"/>
      <w:r w:rsidRPr="00400A6A">
        <w:rPr>
          <w:rFonts w:cs="Calibri"/>
        </w:rPr>
        <w:t>European</w:t>
      </w:r>
      <w:proofErr w:type="spellEnd"/>
      <w:r w:rsidRPr="00400A6A">
        <w:rPr>
          <w:rFonts w:cs="Calibri"/>
        </w:rPr>
        <w:t xml:space="preserve"> </w:t>
      </w:r>
      <w:proofErr w:type="spellStart"/>
      <w:r w:rsidRPr="00400A6A">
        <w:rPr>
          <w:rFonts w:cs="Calibri"/>
        </w:rPr>
        <w:t>Union</w:t>
      </w:r>
      <w:proofErr w:type="spellEnd"/>
      <w:r w:rsidRPr="00400A6A">
        <w:rPr>
          <w:rFonts w:cs="Calibri"/>
        </w:rPr>
        <w:t xml:space="preserve"> </w:t>
      </w:r>
      <w:proofErr w:type="spellStart"/>
      <w:r w:rsidRPr="00400A6A">
        <w:rPr>
          <w:rFonts w:cs="Calibri"/>
        </w:rPr>
        <w:t>Equality</w:t>
      </w:r>
      <w:proofErr w:type="spellEnd"/>
      <w:r w:rsidRPr="00400A6A">
        <w:rPr>
          <w:rFonts w:cs="Calibri"/>
        </w:rPr>
        <w:t xml:space="preserve"> </w:t>
      </w:r>
      <w:proofErr w:type="spellStart"/>
      <w:r w:rsidRPr="00400A6A">
        <w:rPr>
          <w:rFonts w:cs="Calibri"/>
        </w:rPr>
        <w:t>Directives</w:t>
      </w:r>
      <w:proofErr w:type="spellEnd"/>
      <w:r w:rsidRPr="00400A6A">
        <w:rPr>
          <w:rFonts w:cs="Calibri"/>
        </w:rPr>
        <w:t xml:space="preserve">: A </w:t>
      </w:r>
      <w:proofErr w:type="spellStart"/>
      <w:r w:rsidRPr="00400A6A">
        <w:rPr>
          <w:rFonts w:cs="Calibri"/>
        </w:rPr>
        <w:t>Friend</w:t>
      </w:r>
      <w:proofErr w:type="spellEnd"/>
      <w:r w:rsidRPr="00400A6A">
        <w:rPr>
          <w:rFonts w:cs="Calibri"/>
        </w:rPr>
        <w:t xml:space="preserve"> </w:t>
      </w:r>
      <w:proofErr w:type="spellStart"/>
      <w:r w:rsidRPr="00400A6A">
        <w:rPr>
          <w:rFonts w:cs="Calibri"/>
        </w:rPr>
        <w:t>or</w:t>
      </w:r>
      <w:proofErr w:type="spellEnd"/>
      <w:r w:rsidRPr="00400A6A">
        <w:rPr>
          <w:rFonts w:cs="Calibri"/>
        </w:rPr>
        <w:t xml:space="preserve"> a </w:t>
      </w:r>
      <w:proofErr w:type="spellStart"/>
      <w:r w:rsidRPr="00400A6A">
        <w:rPr>
          <w:rFonts w:cs="Calibri"/>
        </w:rPr>
        <w:t>Foe</w:t>
      </w:r>
      <w:proofErr w:type="spellEnd"/>
      <w:r w:rsidRPr="00400A6A">
        <w:rPr>
          <w:rFonts w:cs="Calibri"/>
        </w:rPr>
        <w:t xml:space="preserve"> of More </w:t>
      </w:r>
      <w:proofErr w:type="spellStart"/>
      <w:r w:rsidRPr="00400A6A">
        <w:rPr>
          <w:rFonts w:cs="Calibri"/>
        </w:rPr>
        <w:t>Systematized</w:t>
      </w:r>
      <w:proofErr w:type="spellEnd"/>
      <w:r w:rsidRPr="00400A6A">
        <w:rPr>
          <w:rFonts w:cs="Calibri"/>
        </w:rPr>
        <w:t xml:space="preserve"> </w:t>
      </w:r>
      <w:proofErr w:type="spellStart"/>
      <w:r w:rsidRPr="00400A6A">
        <w:rPr>
          <w:rFonts w:cs="Calibri"/>
        </w:rPr>
        <w:t>Relationships</w:t>
      </w:r>
      <w:proofErr w:type="spellEnd"/>
      <w:r w:rsidRPr="00400A6A">
        <w:rPr>
          <w:rFonts w:cs="Calibri"/>
        </w:rPr>
        <w:t xml:space="preserve"> </w:t>
      </w:r>
      <w:proofErr w:type="spellStart"/>
      <w:r w:rsidRPr="00400A6A">
        <w:rPr>
          <w:rFonts w:cs="Calibri"/>
        </w:rPr>
        <w:t>between</w:t>
      </w:r>
      <w:proofErr w:type="spellEnd"/>
      <w:r w:rsidRPr="00400A6A">
        <w:rPr>
          <w:rFonts w:cs="Calibri"/>
        </w:rPr>
        <w:t xml:space="preserve"> </w:t>
      </w:r>
      <w:proofErr w:type="spellStart"/>
      <w:r w:rsidRPr="00400A6A">
        <w:rPr>
          <w:rFonts w:cs="Calibri"/>
        </w:rPr>
        <w:t>the</w:t>
      </w:r>
      <w:proofErr w:type="spellEnd"/>
      <w:r w:rsidRPr="00400A6A">
        <w:rPr>
          <w:rFonts w:cs="Calibri"/>
        </w:rPr>
        <w:t xml:space="preserve"> </w:t>
      </w:r>
      <w:proofErr w:type="spellStart"/>
      <w:r w:rsidRPr="00400A6A">
        <w:rPr>
          <w:rFonts w:cs="Calibri"/>
        </w:rPr>
        <w:t>Protected</w:t>
      </w:r>
      <w:proofErr w:type="spellEnd"/>
      <w:r w:rsidRPr="00400A6A">
        <w:rPr>
          <w:rFonts w:cs="Calibri"/>
        </w:rPr>
        <w:t xml:space="preserve"> </w:t>
      </w:r>
      <w:proofErr w:type="spellStart"/>
      <w:r w:rsidRPr="00400A6A">
        <w:rPr>
          <w:rFonts w:cs="Calibri"/>
        </w:rPr>
        <w:t>Grounds</w:t>
      </w:r>
      <w:proofErr w:type="spellEnd"/>
      <w:r w:rsidRPr="00400A6A">
        <w:rPr>
          <w:rFonts w:cs="Calibri"/>
        </w:rPr>
        <w:t xml:space="preserve">”, </w:t>
      </w:r>
      <w:r w:rsidRPr="00400A6A">
        <w:rPr>
          <w:rFonts w:cs="Calibri"/>
          <w:i/>
        </w:rPr>
        <w:t xml:space="preserve">International </w:t>
      </w:r>
      <w:proofErr w:type="spellStart"/>
      <w:r w:rsidRPr="00400A6A">
        <w:rPr>
          <w:rFonts w:cs="Calibri"/>
          <w:i/>
        </w:rPr>
        <w:t>Journal</w:t>
      </w:r>
      <w:proofErr w:type="spellEnd"/>
      <w:r w:rsidRPr="00400A6A">
        <w:rPr>
          <w:rFonts w:cs="Calibri"/>
          <w:i/>
        </w:rPr>
        <w:t xml:space="preserve"> of </w:t>
      </w:r>
      <w:proofErr w:type="spellStart"/>
      <w:r w:rsidRPr="00400A6A">
        <w:rPr>
          <w:rFonts w:cs="Calibri"/>
          <w:i/>
        </w:rPr>
        <w:t>Discrimination</w:t>
      </w:r>
      <w:proofErr w:type="spellEnd"/>
      <w:r w:rsidRPr="00400A6A">
        <w:rPr>
          <w:rFonts w:cs="Calibri"/>
          <w:i/>
        </w:rPr>
        <w:t xml:space="preserve"> and </w:t>
      </w:r>
      <w:proofErr w:type="spellStart"/>
      <w:r w:rsidRPr="00400A6A">
        <w:rPr>
          <w:rFonts w:cs="Calibri"/>
          <w:i/>
        </w:rPr>
        <w:t>the</w:t>
      </w:r>
      <w:proofErr w:type="spellEnd"/>
      <w:r w:rsidRPr="00400A6A">
        <w:rPr>
          <w:rFonts w:cs="Calibri"/>
          <w:i/>
        </w:rPr>
        <w:t xml:space="preserve"> </w:t>
      </w:r>
      <w:proofErr w:type="spellStart"/>
      <w:r w:rsidRPr="00400A6A">
        <w:rPr>
          <w:rFonts w:cs="Calibri"/>
          <w:i/>
        </w:rPr>
        <w:t>Law</w:t>
      </w:r>
      <w:proofErr w:type="spellEnd"/>
      <w:r w:rsidRPr="00400A6A">
        <w:rPr>
          <w:rFonts w:cs="Calibri"/>
        </w:rPr>
        <w:t>, núm. 15, vol. 4, 2015, pág. 222-240;  ONUFRIO, M.V., “</w:t>
      </w:r>
      <w:proofErr w:type="spellStart"/>
      <w:r w:rsidRPr="00400A6A">
        <w:rPr>
          <w:rFonts w:cs="Calibri"/>
        </w:rPr>
        <w:t>Intersectional</w:t>
      </w:r>
      <w:proofErr w:type="spellEnd"/>
      <w:r w:rsidRPr="00400A6A">
        <w:rPr>
          <w:rFonts w:cs="Calibri"/>
        </w:rPr>
        <w:t xml:space="preserve"> </w:t>
      </w:r>
      <w:proofErr w:type="spellStart"/>
      <w:r w:rsidRPr="00400A6A">
        <w:rPr>
          <w:rFonts w:cs="Calibri"/>
        </w:rPr>
        <w:t>Discrimination</w:t>
      </w:r>
      <w:proofErr w:type="spellEnd"/>
      <w:r w:rsidRPr="00400A6A">
        <w:rPr>
          <w:rFonts w:cs="Calibri"/>
        </w:rPr>
        <w:t xml:space="preserve"> in </w:t>
      </w:r>
      <w:proofErr w:type="spellStart"/>
      <w:r w:rsidRPr="00400A6A">
        <w:rPr>
          <w:rFonts w:cs="Calibri"/>
        </w:rPr>
        <w:t>the</w:t>
      </w:r>
      <w:proofErr w:type="spellEnd"/>
      <w:r w:rsidRPr="00400A6A">
        <w:rPr>
          <w:rFonts w:cs="Calibri"/>
        </w:rPr>
        <w:t xml:space="preserve"> </w:t>
      </w:r>
      <w:proofErr w:type="spellStart"/>
      <w:r w:rsidRPr="00400A6A">
        <w:rPr>
          <w:rFonts w:cs="Calibri"/>
        </w:rPr>
        <w:t>European</w:t>
      </w:r>
      <w:proofErr w:type="spellEnd"/>
      <w:r w:rsidRPr="00400A6A">
        <w:rPr>
          <w:rFonts w:cs="Calibri"/>
        </w:rPr>
        <w:t xml:space="preserve"> Legal </w:t>
      </w:r>
      <w:proofErr w:type="spellStart"/>
      <w:r w:rsidRPr="00400A6A">
        <w:rPr>
          <w:rFonts w:cs="Calibri"/>
        </w:rPr>
        <w:t>Systems</w:t>
      </w:r>
      <w:proofErr w:type="spellEnd"/>
      <w:r w:rsidRPr="00400A6A">
        <w:rPr>
          <w:rFonts w:cs="Calibri"/>
        </w:rPr>
        <w:t xml:space="preserve">: </w:t>
      </w:r>
      <w:proofErr w:type="spellStart"/>
      <w:r w:rsidRPr="00400A6A">
        <w:rPr>
          <w:rFonts w:cs="Calibri"/>
        </w:rPr>
        <w:t>Towards</w:t>
      </w:r>
      <w:proofErr w:type="spellEnd"/>
      <w:r w:rsidRPr="00400A6A">
        <w:rPr>
          <w:rFonts w:cs="Calibri"/>
        </w:rPr>
        <w:t xml:space="preserve"> a </w:t>
      </w:r>
      <w:proofErr w:type="spellStart"/>
      <w:r w:rsidRPr="00400A6A">
        <w:rPr>
          <w:rFonts w:cs="Calibri"/>
        </w:rPr>
        <w:t>Common</w:t>
      </w:r>
      <w:proofErr w:type="spellEnd"/>
      <w:r w:rsidRPr="00400A6A">
        <w:rPr>
          <w:rFonts w:cs="Calibri"/>
        </w:rPr>
        <w:t xml:space="preserve"> </w:t>
      </w:r>
      <w:proofErr w:type="spellStart"/>
      <w:r w:rsidRPr="00400A6A">
        <w:rPr>
          <w:rFonts w:cs="Calibri"/>
        </w:rPr>
        <w:t>Solution</w:t>
      </w:r>
      <w:proofErr w:type="spellEnd"/>
      <w:r w:rsidRPr="00400A6A">
        <w:rPr>
          <w:rFonts w:cs="Calibri"/>
        </w:rPr>
        <w:t xml:space="preserve">?”, </w:t>
      </w:r>
      <w:r w:rsidRPr="00400A6A">
        <w:rPr>
          <w:rFonts w:cs="Calibri"/>
          <w:i/>
        </w:rPr>
        <w:t xml:space="preserve">International </w:t>
      </w:r>
      <w:proofErr w:type="spellStart"/>
      <w:r w:rsidRPr="00400A6A">
        <w:rPr>
          <w:rFonts w:cs="Calibri"/>
          <w:i/>
        </w:rPr>
        <w:t>Journal</w:t>
      </w:r>
      <w:proofErr w:type="spellEnd"/>
      <w:r w:rsidRPr="00400A6A">
        <w:rPr>
          <w:rFonts w:cs="Calibri"/>
          <w:i/>
        </w:rPr>
        <w:t xml:space="preserve"> of </w:t>
      </w:r>
      <w:proofErr w:type="spellStart"/>
      <w:r w:rsidRPr="00400A6A">
        <w:rPr>
          <w:rFonts w:cs="Calibri"/>
          <w:i/>
        </w:rPr>
        <w:t>Discrimination</w:t>
      </w:r>
      <w:proofErr w:type="spellEnd"/>
      <w:r w:rsidRPr="00400A6A">
        <w:rPr>
          <w:rFonts w:cs="Calibri"/>
          <w:i/>
        </w:rPr>
        <w:t xml:space="preserve"> and </w:t>
      </w:r>
      <w:proofErr w:type="spellStart"/>
      <w:r w:rsidRPr="00400A6A">
        <w:rPr>
          <w:rFonts w:cs="Calibri"/>
          <w:i/>
        </w:rPr>
        <w:t>the</w:t>
      </w:r>
      <w:proofErr w:type="spellEnd"/>
      <w:r w:rsidRPr="00400A6A">
        <w:rPr>
          <w:rFonts w:cs="Calibri"/>
          <w:i/>
        </w:rPr>
        <w:t xml:space="preserve"> </w:t>
      </w:r>
      <w:proofErr w:type="spellStart"/>
      <w:r w:rsidRPr="00400A6A">
        <w:rPr>
          <w:rFonts w:cs="Calibri"/>
          <w:i/>
        </w:rPr>
        <w:t>Law</w:t>
      </w:r>
      <w:proofErr w:type="spellEnd"/>
      <w:r w:rsidRPr="00400A6A">
        <w:rPr>
          <w:rFonts w:cs="Calibri"/>
        </w:rPr>
        <w:t xml:space="preserve">, núm. 14, vol. 2, 2014, págs. </w:t>
      </w:r>
      <w:r w:rsidRPr="00556A05">
        <w:rPr>
          <w:rFonts w:cs="Calibri"/>
        </w:rPr>
        <w:t>126-140.</w:t>
      </w:r>
    </w:p>
  </w:footnote>
  <w:footnote w:id="26">
    <w:p w:rsidR="00B67B13" w:rsidRPr="00400A6A"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Estas medidas han sido calificadas por la doctrina como disposiciones comunes que aplican el principio de igualdad a todas las causas de discriminación, si bien la Directiva también diseña un segundo nivel de protección para ámbitos específicos. </w:t>
      </w:r>
      <w:r w:rsidRPr="009E5051">
        <w:rPr>
          <w:rFonts w:cs="Calibri"/>
          <w:lang w:val="en-US"/>
        </w:rPr>
        <w:t>En</w:t>
      </w:r>
      <w:r w:rsidR="009E5051" w:rsidRPr="009E5051">
        <w:rPr>
          <w:rFonts w:cs="Calibri"/>
          <w:lang w:val="en-US"/>
        </w:rPr>
        <w:t xml:space="preserve"> </w:t>
      </w:r>
      <w:proofErr w:type="spellStart"/>
      <w:proofErr w:type="gramStart"/>
      <w:r w:rsidRPr="009E5051">
        <w:rPr>
          <w:rFonts w:cs="Calibri"/>
          <w:lang w:val="en-US"/>
        </w:rPr>
        <w:t>este</w:t>
      </w:r>
      <w:proofErr w:type="spellEnd"/>
      <w:proofErr w:type="gramEnd"/>
      <w:r w:rsidR="009E5051" w:rsidRPr="009E5051">
        <w:rPr>
          <w:rFonts w:cs="Calibri"/>
          <w:lang w:val="en-US"/>
        </w:rPr>
        <w:t xml:space="preserve"> </w:t>
      </w:r>
      <w:proofErr w:type="spellStart"/>
      <w:r w:rsidRPr="009E5051">
        <w:rPr>
          <w:rFonts w:cs="Calibri"/>
          <w:lang w:val="en-US"/>
        </w:rPr>
        <w:t>sentido</w:t>
      </w:r>
      <w:proofErr w:type="spellEnd"/>
      <w:r w:rsidRPr="009E5051">
        <w:rPr>
          <w:rFonts w:cs="Calibri"/>
          <w:lang w:val="en-US"/>
        </w:rPr>
        <w:t xml:space="preserve">, </w:t>
      </w:r>
      <w:proofErr w:type="spellStart"/>
      <w:r w:rsidRPr="009E5051">
        <w:rPr>
          <w:rFonts w:cs="Calibri"/>
          <w:lang w:val="en-US"/>
        </w:rPr>
        <w:t>véase</w:t>
      </w:r>
      <w:proofErr w:type="spellEnd"/>
      <w:r w:rsidRPr="009E5051">
        <w:rPr>
          <w:rFonts w:cs="Calibri"/>
          <w:lang w:val="en-US"/>
        </w:rPr>
        <w:t xml:space="preserve"> WADDINGTON, L., “</w:t>
      </w:r>
      <w:r w:rsidRPr="00FF6FB0">
        <w:rPr>
          <w:rFonts w:cs="Calibri"/>
          <w:lang w:val="en-US"/>
        </w:rPr>
        <w:t>Implementing the Disability provisions of the Framework Employment Directive: Room for Exercising National Discretion</w:t>
      </w:r>
      <w:r w:rsidRPr="009E5051">
        <w:rPr>
          <w:rFonts w:cs="Calibri"/>
          <w:lang w:val="en-US"/>
        </w:rPr>
        <w:t xml:space="preserve">” en LAWSON, A. y GOODING, C., </w:t>
      </w:r>
      <w:r w:rsidRPr="00FF6FB0">
        <w:rPr>
          <w:rFonts w:cs="Calibri"/>
          <w:i/>
          <w:lang w:val="en-US"/>
        </w:rPr>
        <w:t xml:space="preserve">Disability Rights in Europe. </w:t>
      </w:r>
      <w:proofErr w:type="spellStart"/>
      <w:r w:rsidRPr="00400A6A">
        <w:rPr>
          <w:rFonts w:cs="Calibri"/>
          <w:i/>
        </w:rPr>
        <w:t>From</w:t>
      </w:r>
      <w:proofErr w:type="spellEnd"/>
      <w:r w:rsidR="004131C1">
        <w:rPr>
          <w:rFonts w:cs="Calibri"/>
          <w:i/>
        </w:rPr>
        <w:t xml:space="preserve"> </w:t>
      </w:r>
      <w:proofErr w:type="spellStart"/>
      <w:r w:rsidRPr="00400A6A">
        <w:rPr>
          <w:rFonts w:cs="Calibri"/>
          <w:i/>
        </w:rPr>
        <w:t>Theory</w:t>
      </w:r>
      <w:proofErr w:type="spellEnd"/>
      <w:r w:rsidRPr="00400A6A">
        <w:rPr>
          <w:rFonts w:cs="Calibri"/>
          <w:i/>
        </w:rPr>
        <w:t xml:space="preserve"> </w:t>
      </w:r>
      <w:proofErr w:type="spellStart"/>
      <w:r w:rsidRPr="00400A6A">
        <w:rPr>
          <w:rFonts w:cs="Calibri"/>
          <w:i/>
        </w:rPr>
        <w:t>to</w:t>
      </w:r>
      <w:proofErr w:type="spellEnd"/>
      <w:r w:rsidRPr="00400A6A">
        <w:rPr>
          <w:rFonts w:cs="Calibri"/>
          <w:i/>
        </w:rPr>
        <w:t xml:space="preserve"> </w:t>
      </w:r>
      <w:proofErr w:type="spellStart"/>
      <w:r w:rsidRPr="00400A6A">
        <w:rPr>
          <w:rFonts w:cs="Calibri"/>
          <w:i/>
        </w:rPr>
        <w:t>Practice</w:t>
      </w:r>
      <w:proofErr w:type="spellEnd"/>
      <w:r w:rsidRPr="00400A6A">
        <w:rPr>
          <w:rFonts w:cs="Calibri"/>
        </w:rPr>
        <w:t xml:space="preserve">, </w:t>
      </w:r>
      <w:proofErr w:type="spellStart"/>
      <w:r w:rsidRPr="00400A6A">
        <w:rPr>
          <w:rFonts w:cs="Calibri"/>
        </w:rPr>
        <w:t>Hart</w:t>
      </w:r>
      <w:proofErr w:type="spellEnd"/>
      <w:r w:rsidRPr="00400A6A">
        <w:rPr>
          <w:rFonts w:cs="Calibri"/>
        </w:rPr>
        <w:t xml:space="preserve"> Publishing, 2003, pág. 109.</w:t>
      </w:r>
    </w:p>
  </w:footnote>
  <w:footnote w:id="27">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Buena muestra de ello son las referencias incluidas en el apartado 2 del texto de la Propuesta de Directiva del Consejo relativa al establecimiento de un marco general para la igualdad de trato en el empleo y la ocupación (COM/99/0565 final), que ponen de manifiesto las elevadas probabilidades de desempleo de este colectivo y la existencia de discriminación fundamentada en </w:t>
      </w:r>
      <w:r w:rsidRPr="00FF6FB0">
        <w:rPr>
          <w:rFonts w:cs="Calibri"/>
          <w:i/>
        </w:rPr>
        <w:t>la falta de adaptación de los puestos de trabajo y el diseño inapropiado de la organización del trabajo</w:t>
      </w:r>
      <w:r w:rsidRPr="00FF6FB0">
        <w:rPr>
          <w:rFonts w:cs="Calibri"/>
        </w:rPr>
        <w:t xml:space="preserve">. </w:t>
      </w:r>
    </w:p>
  </w:footnote>
  <w:footnote w:id="28">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La confusión de los ajustes razonables como medida de acción positiva se ha producido, tal y como señala WADDINGTON, L. &amp; BELL, M., “</w:t>
      </w:r>
      <w:proofErr w:type="spellStart"/>
      <w:r w:rsidRPr="009E5051">
        <w:rPr>
          <w:rFonts w:cs="Calibri"/>
        </w:rPr>
        <w:t>Exploring</w:t>
      </w:r>
      <w:proofErr w:type="spellEnd"/>
      <w:r w:rsidRPr="009E5051">
        <w:rPr>
          <w:rFonts w:cs="Calibri"/>
        </w:rPr>
        <w:t xml:space="preserve"> </w:t>
      </w:r>
      <w:proofErr w:type="spellStart"/>
      <w:r w:rsidRPr="009E5051">
        <w:rPr>
          <w:rFonts w:cs="Calibri"/>
        </w:rPr>
        <w:t>the</w:t>
      </w:r>
      <w:proofErr w:type="spellEnd"/>
      <w:r w:rsidRPr="009E5051">
        <w:rPr>
          <w:rFonts w:cs="Calibri"/>
        </w:rPr>
        <w:t xml:space="preserve"> </w:t>
      </w:r>
      <w:proofErr w:type="spellStart"/>
      <w:r w:rsidRPr="009E5051">
        <w:rPr>
          <w:rFonts w:cs="Calibri"/>
        </w:rPr>
        <w:t>Boundaries</w:t>
      </w:r>
      <w:proofErr w:type="spellEnd"/>
      <w:r w:rsidRPr="009E5051">
        <w:rPr>
          <w:rFonts w:cs="Calibri"/>
        </w:rPr>
        <w:t xml:space="preserve"> of Positive </w:t>
      </w:r>
      <w:proofErr w:type="spellStart"/>
      <w:r w:rsidRPr="009E5051">
        <w:rPr>
          <w:rFonts w:cs="Calibri"/>
        </w:rPr>
        <w:t>Action</w:t>
      </w:r>
      <w:proofErr w:type="spellEnd"/>
      <w:r w:rsidRPr="009E5051">
        <w:rPr>
          <w:rFonts w:cs="Calibri"/>
        </w:rPr>
        <w:t xml:space="preserve"> </w:t>
      </w:r>
      <w:proofErr w:type="spellStart"/>
      <w:r w:rsidRPr="009E5051">
        <w:rPr>
          <w:rFonts w:cs="Calibri"/>
        </w:rPr>
        <w:t>under</w:t>
      </w:r>
      <w:proofErr w:type="spellEnd"/>
      <w:r w:rsidRPr="009E5051">
        <w:rPr>
          <w:rFonts w:cs="Calibri"/>
        </w:rPr>
        <w:t xml:space="preserve"> EU: A </w:t>
      </w:r>
      <w:proofErr w:type="spellStart"/>
      <w:r w:rsidRPr="009E5051">
        <w:rPr>
          <w:rFonts w:cs="Calibri"/>
        </w:rPr>
        <w:t>Search</w:t>
      </w:r>
      <w:proofErr w:type="spellEnd"/>
      <w:r w:rsidRPr="009E5051">
        <w:rPr>
          <w:rFonts w:cs="Calibri"/>
        </w:rPr>
        <w:t xml:space="preserve"> </w:t>
      </w:r>
      <w:proofErr w:type="spellStart"/>
      <w:r w:rsidRPr="009E5051">
        <w:rPr>
          <w:rFonts w:cs="Calibri"/>
        </w:rPr>
        <w:t>for</w:t>
      </w:r>
      <w:proofErr w:type="spellEnd"/>
      <w:r w:rsidRPr="009E5051">
        <w:rPr>
          <w:rFonts w:cs="Calibri"/>
        </w:rPr>
        <w:t xml:space="preserve"> Conceptual </w:t>
      </w:r>
      <w:proofErr w:type="spellStart"/>
      <w:r w:rsidRPr="009E5051">
        <w:rPr>
          <w:rFonts w:cs="Calibri"/>
        </w:rPr>
        <w:t>Clarity</w:t>
      </w:r>
      <w:proofErr w:type="spellEnd"/>
      <w:r w:rsidRPr="009E5051">
        <w:rPr>
          <w:rFonts w:cs="Calibri"/>
        </w:rPr>
        <w:t xml:space="preserve">”, </w:t>
      </w:r>
      <w:proofErr w:type="spellStart"/>
      <w:r w:rsidRPr="009E5051">
        <w:rPr>
          <w:rFonts w:cs="Calibri"/>
          <w:i/>
        </w:rPr>
        <w:t>Common</w:t>
      </w:r>
      <w:proofErr w:type="spellEnd"/>
      <w:r w:rsidRPr="009E5051">
        <w:rPr>
          <w:rFonts w:cs="Calibri"/>
          <w:i/>
        </w:rPr>
        <w:t xml:space="preserve"> </w:t>
      </w:r>
      <w:proofErr w:type="spellStart"/>
      <w:r w:rsidRPr="009E5051">
        <w:rPr>
          <w:rFonts w:cs="Calibri"/>
          <w:i/>
        </w:rPr>
        <w:t>Market</w:t>
      </w:r>
      <w:proofErr w:type="spellEnd"/>
      <w:r w:rsidRPr="009E5051">
        <w:rPr>
          <w:rFonts w:cs="Calibri"/>
          <w:i/>
        </w:rPr>
        <w:t xml:space="preserve"> </w:t>
      </w:r>
      <w:proofErr w:type="spellStart"/>
      <w:r w:rsidRPr="009E5051">
        <w:rPr>
          <w:rFonts w:cs="Calibri"/>
          <w:i/>
        </w:rPr>
        <w:t>Law</w:t>
      </w:r>
      <w:proofErr w:type="spellEnd"/>
      <w:r w:rsidRPr="009E5051">
        <w:rPr>
          <w:rFonts w:cs="Calibri"/>
          <w:i/>
        </w:rPr>
        <w:t xml:space="preserve"> </w:t>
      </w:r>
      <w:proofErr w:type="spellStart"/>
      <w:r w:rsidRPr="009E5051">
        <w:rPr>
          <w:rFonts w:cs="Calibri"/>
          <w:i/>
        </w:rPr>
        <w:t>Review</w:t>
      </w:r>
      <w:proofErr w:type="spellEnd"/>
      <w:r w:rsidRPr="00FF6FB0">
        <w:rPr>
          <w:rFonts w:cs="Calibri"/>
        </w:rPr>
        <w:t>, núm. 48, 2011, pág. 1516 y 1517, tanto a nivel judicial como legislativo europeo (Bélgica y Portugal). Los mencionados autores defienden que la caracterización ideal de esta obligación debe incardinarse como un tipo particular de disposición antidiscriminatoria basada en un modelo distinto de lucha contra la discriminación, pues se trata de una disposición obligatoria – a diferencia de algunas de las medidas de acción positiva- y ostenta un carácter individual que la hace única.</w:t>
      </w:r>
      <w:r w:rsidR="009E5051">
        <w:rPr>
          <w:rFonts w:cs="Calibri"/>
        </w:rPr>
        <w:t xml:space="preserve"> </w:t>
      </w:r>
      <w:proofErr w:type="spellStart"/>
      <w:r w:rsidRPr="009E5051">
        <w:rPr>
          <w:rFonts w:cs="Calibri"/>
          <w:lang w:val="en-US"/>
        </w:rPr>
        <w:t>Una</w:t>
      </w:r>
      <w:proofErr w:type="spellEnd"/>
      <w:r w:rsidRPr="009E5051">
        <w:rPr>
          <w:rFonts w:cs="Calibri"/>
          <w:lang w:val="en-US"/>
        </w:rPr>
        <w:t xml:space="preserve"> </w:t>
      </w:r>
      <w:proofErr w:type="spellStart"/>
      <w:r w:rsidRPr="009E5051">
        <w:rPr>
          <w:rFonts w:cs="Calibri"/>
          <w:lang w:val="en-US"/>
        </w:rPr>
        <w:t>explicación</w:t>
      </w:r>
      <w:proofErr w:type="spellEnd"/>
      <w:r w:rsidR="009E5051" w:rsidRPr="009E5051">
        <w:rPr>
          <w:rFonts w:cs="Calibri"/>
          <w:lang w:val="en-US"/>
        </w:rPr>
        <w:t xml:space="preserve"> </w:t>
      </w:r>
      <w:proofErr w:type="spellStart"/>
      <w:r w:rsidRPr="009E5051">
        <w:rPr>
          <w:rFonts w:cs="Calibri"/>
          <w:lang w:val="en-US"/>
        </w:rPr>
        <w:t>detallada</w:t>
      </w:r>
      <w:proofErr w:type="spellEnd"/>
      <w:r w:rsidR="009E5051" w:rsidRPr="009E5051">
        <w:rPr>
          <w:rFonts w:cs="Calibri"/>
          <w:lang w:val="en-US"/>
        </w:rPr>
        <w:t xml:space="preserve"> </w:t>
      </w:r>
      <w:proofErr w:type="spellStart"/>
      <w:r w:rsidRPr="009E5051">
        <w:rPr>
          <w:rFonts w:cs="Calibri"/>
          <w:lang w:val="en-US"/>
        </w:rPr>
        <w:t>sobre</w:t>
      </w:r>
      <w:proofErr w:type="spellEnd"/>
      <w:r w:rsidR="009E5051">
        <w:rPr>
          <w:rFonts w:cs="Calibri"/>
          <w:lang w:val="en-US"/>
        </w:rPr>
        <w:t xml:space="preserve"> </w:t>
      </w:r>
      <w:proofErr w:type="spellStart"/>
      <w:r w:rsidRPr="009E5051">
        <w:rPr>
          <w:rFonts w:cs="Calibri"/>
          <w:lang w:val="en-US"/>
        </w:rPr>
        <w:t>esta</w:t>
      </w:r>
      <w:proofErr w:type="spellEnd"/>
      <w:r w:rsidR="009E5051">
        <w:rPr>
          <w:rFonts w:cs="Calibri"/>
          <w:lang w:val="en-US"/>
        </w:rPr>
        <w:t xml:space="preserve"> discussion </w:t>
      </w:r>
      <w:proofErr w:type="spellStart"/>
      <w:r w:rsidRPr="009E5051">
        <w:rPr>
          <w:rFonts w:cs="Calibri"/>
          <w:lang w:val="en-US"/>
        </w:rPr>
        <w:t>puede</w:t>
      </w:r>
      <w:proofErr w:type="spellEnd"/>
      <w:r w:rsidR="009E5051">
        <w:rPr>
          <w:rFonts w:cs="Calibri"/>
          <w:lang w:val="en-US"/>
        </w:rPr>
        <w:t xml:space="preserve"> </w:t>
      </w:r>
      <w:proofErr w:type="spellStart"/>
      <w:r w:rsidRPr="009E5051">
        <w:rPr>
          <w:rFonts w:cs="Calibri"/>
          <w:lang w:val="en-US"/>
        </w:rPr>
        <w:t>hallarse</w:t>
      </w:r>
      <w:proofErr w:type="spellEnd"/>
      <w:r w:rsidR="009E5051">
        <w:rPr>
          <w:rFonts w:cs="Calibri"/>
          <w:lang w:val="en-US"/>
        </w:rPr>
        <w:t xml:space="preserve"> </w:t>
      </w:r>
      <w:r w:rsidRPr="009E5051">
        <w:rPr>
          <w:rFonts w:cs="Calibri"/>
          <w:lang w:val="en-US"/>
        </w:rPr>
        <w:t>en WADDINGTON, L.</w:t>
      </w:r>
      <w:r w:rsidR="009E5051">
        <w:rPr>
          <w:rFonts w:cs="Calibri"/>
          <w:lang w:val="en-US"/>
        </w:rPr>
        <w:t xml:space="preserve"> </w:t>
      </w:r>
      <w:r w:rsidRPr="009E5051">
        <w:rPr>
          <w:rFonts w:cs="Calibri"/>
          <w:lang w:val="en-US"/>
        </w:rPr>
        <w:t>&amp; HENDR</w:t>
      </w:r>
      <w:r w:rsidR="009E5051">
        <w:rPr>
          <w:rFonts w:cs="Calibri"/>
          <w:lang w:val="en-US"/>
        </w:rPr>
        <w:t>I</w:t>
      </w:r>
      <w:r w:rsidRPr="009E5051">
        <w:rPr>
          <w:rFonts w:cs="Calibri"/>
          <w:lang w:val="en-US"/>
        </w:rPr>
        <w:t>KS, A., “</w:t>
      </w:r>
      <w:r w:rsidRPr="00FF6FB0">
        <w:rPr>
          <w:rFonts w:cs="Calibri"/>
          <w:lang w:val="en-US"/>
        </w:rPr>
        <w:t xml:space="preserve">The Expanding Concept of Employment Discrimination in Europe: From Direct and Indirect Discrimination to Reasonable Accommodation Discrimination”, </w:t>
      </w:r>
      <w:r w:rsidRPr="00FF6FB0">
        <w:rPr>
          <w:rFonts w:cs="Calibri"/>
          <w:i/>
          <w:iCs/>
          <w:lang w:val="en-US"/>
        </w:rPr>
        <w:t xml:space="preserve">International Journal of Comparative </w:t>
      </w:r>
      <w:proofErr w:type="spellStart"/>
      <w:r w:rsidRPr="00FF6FB0">
        <w:rPr>
          <w:rFonts w:cs="Calibri"/>
          <w:i/>
          <w:iCs/>
          <w:lang w:val="en-US"/>
        </w:rPr>
        <w:t>Labour</w:t>
      </w:r>
      <w:proofErr w:type="spellEnd"/>
      <w:r w:rsidRPr="00FF6FB0">
        <w:rPr>
          <w:rFonts w:cs="Calibri"/>
          <w:i/>
          <w:iCs/>
          <w:lang w:val="en-US"/>
        </w:rPr>
        <w:t xml:space="preserve"> Law and Industrial Relations</w:t>
      </w:r>
      <w:r w:rsidRPr="009E5051">
        <w:rPr>
          <w:rFonts w:cs="Calibri"/>
          <w:iCs/>
          <w:lang w:val="en-US"/>
        </w:rPr>
        <w:t xml:space="preserve">, </w:t>
      </w:r>
      <w:proofErr w:type="spellStart"/>
      <w:r w:rsidRPr="009E5051">
        <w:rPr>
          <w:rFonts w:cs="Calibri"/>
          <w:iCs/>
          <w:lang w:val="en-US"/>
        </w:rPr>
        <w:t>núm</w:t>
      </w:r>
      <w:proofErr w:type="spellEnd"/>
      <w:r w:rsidRPr="009E5051">
        <w:rPr>
          <w:rFonts w:cs="Calibri"/>
          <w:iCs/>
          <w:lang w:val="en-US"/>
        </w:rPr>
        <w:t>. 18</w:t>
      </w:r>
      <w:proofErr w:type="gramStart"/>
      <w:r w:rsidRPr="009E5051">
        <w:rPr>
          <w:rFonts w:cs="Calibri"/>
          <w:iCs/>
          <w:lang w:val="en-US"/>
        </w:rPr>
        <w:t>,</w:t>
      </w:r>
      <w:r w:rsidRPr="009E5051">
        <w:rPr>
          <w:rFonts w:cs="Calibri"/>
          <w:lang w:val="en-US"/>
        </w:rPr>
        <w:t>2002</w:t>
      </w:r>
      <w:proofErr w:type="gramEnd"/>
      <w:r w:rsidRPr="009E5051">
        <w:rPr>
          <w:rFonts w:cs="Calibri"/>
          <w:lang w:val="en-US"/>
        </w:rPr>
        <w:t xml:space="preserve">, </w:t>
      </w:r>
      <w:proofErr w:type="spellStart"/>
      <w:r w:rsidRPr="009E5051">
        <w:rPr>
          <w:rFonts w:cs="Calibri"/>
          <w:lang w:val="en-US"/>
        </w:rPr>
        <w:t>págs</w:t>
      </w:r>
      <w:proofErr w:type="spellEnd"/>
      <w:r w:rsidRPr="009E5051">
        <w:rPr>
          <w:rFonts w:cs="Calibri"/>
          <w:lang w:val="en-US"/>
        </w:rPr>
        <w:t xml:space="preserve">. </w:t>
      </w:r>
      <w:r w:rsidRPr="00FF6FB0">
        <w:rPr>
          <w:rFonts w:cs="Calibri"/>
        </w:rPr>
        <w:t>403–428.</w:t>
      </w:r>
    </w:p>
  </w:footnote>
  <w:footnote w:id="29">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A mayor abundamiento, el considerando 20 de la Directiva 2000/78 ofrece algunos ejemplos del tipo de adaptaciones que pueden incardinarse en esta obligación, tales como adaptación de instalaciones, equipamientos, pautas de trabajo, asignación de funciones o provisión de medios de formación o encuadre. </w:t>
      </w:r>
    </w:p>
  </w:footnote>
  <w:footnote w:id="30">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La mención a las medidas existentes en el Estado Miembro es otro aspecto que deja patente la voluntad de integrar el modelo europeo de protección de la salud y seguridad en una obligación extranjera importada del mundo anglosajón. En este sentido, el legislador europeo, consciente de que los Estados Miembros han ratificado instrumentos internacionales que obligan a garantizar derechos humanos con contenido económico y social, decidió incluir esta disposición para dificultar la alusión a la existencia de carga desproporcionada. </w:t>
      </w:r>
    </w:p>
  </w:footnote>
  <w:footnote w:id="31">
    <w:p w:rsidR="00B67B13" w:rsidRPr="009E5051"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r w:rsidRPr="009E5051">
        <w:rPr>
          <w:rFonts w:cs="Calibri"/>
          <w:i/>
          <w:lang w:val="en-US"/>
        </w:rPr>
        <w:t>Vid</w:t>
      </w:r>
      <w:proofErr w:type="spellEnd"/>
      <w:r w:rsidRPr="009E5051">
        <w:rPr>
          <w:rFonts w:cs="Calibri"/>
          <w:i/>
          <w:lang w:val="en-US"/>
        </w:rPr>
        <w:t>.</w:t>
      </w:r>
      <w:r w:rsidRPr="009E5051">
        <w:rPr>
          <w:rFonts w:cs="Calibri"/>
          <w:lang w:val="en-US"/>
        </w:rPr>
        <w:t xml:space="preserve"> HOSKING, D., “</w:t>
      </w:r>
      <w:r w:rsidRPr="00FF6FB0">
        <w:rPr>
          <w:rFonts w:cs="Calibri"/>
          <w:lang w:val="en-US"/>
        </w:rPr>
        <w:t xml:space="preserve">Great Expectations: Protection from Discrimination because of Disability in Community Law”, </w:t>
      </w:r>
      <w:r w:rsidRPr="00FF6FB0">
        <w:rPr>
          <w:rFonts w:cs="Calibri"/>
          <w:i/>
          <w:lang w:val="en-US"/>
        </w:rPr>
        <w:t>European Law review</w:t>
      </w:r>
      <w:r w:rsidRPr="00FF6FB0">
        <w:rPr>
          <w:rFonts w:cs="Calibri"/>
          <w:lang w:val="en-US"/>
        </w:rPr>
        <w:t xml:space="preserve">, </w:t>
      </w:r>
      <w:proofErr w:type="spellStart"/>
      <w:r w:rsidRPr="009E5051">
        <w:rPr>
          <w:rFonts w:cs="Calibri"/>
          <w:lang w:val="en-US"/>
        </w:rPr>
        <w:t>núm</w:t>
      </w:r>
      <w:proofErr w:type="spellEnd"/>
      <w:r w:rsidRPr="009E5051">
        <w:rPr>
          <w:rFonts w:cs="Calibri"/>
          <w:lang w:val="en-US"/>
        </w:rPr>
        <w:t xml:space="preserve">. </w:t>
      </w:r>
      <w:proofErr w:type="gramStart"/>
      <w:r w:rsidRPr="009E5051">
        <w:rPr>
          <w:rFonts w:cs="Calibri"/>
          <w:lang w:val="en-US"/>
        </w:rPr>
        <w:t xml:space="preserve">31, vol. 5, 2006, </w:t>
      </w:r>
      <w:proofErr w:type="spellStart"/>
      <w:r w:rsidRPr="009E5051">
        <w:rPr>
          <w:rFonts w:cs="Calibri"/>
          <w:lang w:val="en-US"/>
        </w:rPr>
        <w:t>pág</w:t>
      </w:r>
      <w:proofErr w:type="spellEnd"/>
      <w:r w:rsidRPr="009E5051">
        <w:rPr>
          <w:rFonts w:cs="Calibri"/>
          <w:lang w:val="en-US"/>
        </w:rPr>
        <w:t>.</w:t>
      </w:r>
      <w:proofErr w:type="gramEnd"/>
      <w:r w:rsidRPr="009E5051">
        <w:rPr>
          <w:rFonts w:cs="Calibri"/>
          <w:lang w:val="en-US"/>
        </w:rPr>
        <w:t xml:space="preserve"> </w:t>
      </w:r>
      <w:proofErr w:type="gramStart"/>
      <w:r w:rsidRPr="009E5051">
        <w:rPr>
          <w:rFonts w:cs="Calibri"/>
          <w:lang w:val="en-US"/>
        </w:rPr>
        <w:t>12 (</w:t>
      </w:r>
      <w:proofErr w:type="spellStart"/>
      <w:r w:rsidRPr="009E5051">
        <w:rPr>
          <w:rFonts w:cs="Calibri"/>
          <w:lang w:val="en-US"/>
        </w:rPr>
        <w:t>versión</w:t>
      </w:r>
      <w:proofErr w:type="spellEnd"/>
      <w:r w:rsidR="009E5051" w:rsidRPr="009E5051">
        <w:rPr>
          <w:rFonts w:cs="Calibri"/>
          <w:lang w:val="en-US"/>
        </w:rPr>
        <w:t xml:space="preserve"> </w:t>
      </w:r>
      <w:proofErr w:type="spellStart"/>
      <w:r w:rsidRPr="009E5051">
        <w:rPr>
          <w:rFonts w:cs="Calibri"/>
          <w:lang w:val="en-US"/>
        </w:rPr>
        <w:t>electrónica</w:t>
      </w:r>
      <w:proofErr w:type="spellEnd"/>
      <w:r w:rsidRPr="009E5051">
        <w:rPr>
          <w:rFonts w:cs="Calibri"/>
          <w:lang w:val="en-US"/>
        </w:rPr>
        <w:t>)</w:t>
      </w:r>
      <w:r w:rsidR="009E5051">
        <w:rPr>
          <w:rFonts w:cs="Calibri"/>
          <w:lang w:val="en-US"/>
        </w:rPr>
        <w:t>.</w:t>
      </w:r>
      <w:proofErr w:type="gramEnd"/>
    </w:p>
  </w:footnote>
  <w:footnote w:id="32">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Nos referimos al artículo 6.2.d de la Directiva 89/391/CEE del Consejo, de 12 de junio de 1989, relativa a la aplicación de medidas para promover la mejora de la seguridad y de la salud de los trabajadores en el trabajo, que contempla como principio general de prevención </w:t>
      </w:r>
      <w:r w:rsidRPr="00FF6FB0">
        <w:rPr>
          <w:rFonts w:cs="Calibri"/>
          <w:i/>
        </w:rPr>
        <w:t>adaptar el trabajo a la persona, en particular en lo que respecta a la concepción de los puestos de trabajo, así como a la elección de los equipos de trabajo y los métodos de trabajo y de producción, con miras en particular, a atenuar el trabajo monótono y el trabajo repetitivo y a reducir los efectos de los mismos en la salud</w:t>
      </w:r>
      <w:r w:rsidRPr="00FF6FB0">
        <w:rPr>
          <w:rFonts w:cs="Calibri"/>
        </w:rPr>
        <w:t>.</w:t>
      </w:r>
    </w:p>
  </w:footnote>
  <w:footnote w:id="33">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Así lo señala WHITTLE, R., “</w:t>
      </w:r>
      <w:proofErr w:type="spellStart"/>
      <w:r w:rsidRPr="00400A6A">
        <w:rPr>
          <w:rFonts w:cs="Calibri"/>
        </w:rPr>
        <w:t>The</w:t>
      </w:r>
      <w:proofErr w:type="spellEnd"/>
      <w:r w:rsidRPr="00400A6A">
        <w:rPr>
          <w:rFonts w:cs="Calibri"/>
        </w:rPr>
        <w:t xml:space="preserve"> Framework </w:t>
      </w:r>
      <w:proofErr w:type="spellStart"/>
      <w:r w:rsidRPr="00400A6A">
        <w:rPr>
          <w:rFonts w:cs="Calibri"/>
        </w:rPr>
        <w:t>Directive</w:t>
      </w:r>
      <w:proofErr w:type="spellEnd"/>
      <w:r w:rsidRPr="00400A6A">
        <w:rPr>
          <w:rFonts w:cs="Calibri"/>
        </w:rPr>
        <w:t xml:space="preserve">…” </w:t>
      </w:r>
      <w:proofErr w:type="spellStart"/>
      <w:r w:rsidRPr="00400A6A">
        <w:rPr>
          <w:rFonts w:cs="Calibri"/>
          <w:i/>
        </w:rPr>
        <w:t>op</w:t>
      </w:r>
      <w:proofErr w:type="spellEnd"/>
      <w:r w:rsidRPr="00400A6A">
        <w:rPr>
          <w:rFonts w:cs="Calibri"/>
          <w:i/>
        </w:rPr>
        <w:t>. cit.</w:t>
      </w:r>
      <w:r w:rsidRPr="00400A6A">
        <w:rPr>
          <w:rFonts w:cs="Calibri"/>
        </w:rPr>
        <w:t>,</w:t>
      </w:r>
      <w:r w:rsidR="004131C1">
        <w:rPr>
          <w:rFonts w:cs="Calibri"/>
        </w:rPr>
        <w:t xml:space="preserve"> </w:t>
      </w:r>
      <w:r w:rsidRPr="00FF6FB0">
        <w:rPr>
          <w:rFonts w:cs="Calibri"/>
        </w:rPr>
        <w:t xml:space="preserve">pág. 8 </w:t>
      </w:r>
      <w:r w:rsidR="004131C1">
        <w:rPr>
          <w:rFonts w:cs="Calibri"/>
        </w:rPr>
        <w:t>(</w:t>
      </w:r>
      <w:r w:rsidRPr="00FF6FB0">
        <w:rPr>
          <w:rFonts w:cs="Calibri"/>
        </w:rPr>
        <w:t>versión</w:t>
      </w:r>
      <w:r w:rsidR="004131C1">
        <w:rPr>
          <w:rFonts w:cs="Calibri"/>
        </w:rPr>
        <w:t xml:space="preserve"> </w:t>
      </w:r>
      <w:r w:rsidRPr="00FF6FB0">
        <w:rPr>
          <w:rFonts w:cs="Calibri"/>
        </w:rPr>
        <w:t>electrónica</w:t>
      </w:r>
      <w:r w:rsidR="004131C1">
        <w:rPr>
          <w:rFonts w:cs="Calibri"/>
        </w:rPr>
        <w:t>)</w:t>
      </w:r>
      <w:r w:rsidRPr="00FF6FB0">
        <w:rPr>
          <w:rFonts w:cs="Calibri"/>
        </w:rPr>
        <w:t xml:space="preserve">. </w:t>
      </w:r>
    </w:p>
  </w:footnote>
  <w:footnote w:id="3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En esta dirección, el apartado 5 de la propuesta de Directiva del Consejo relativa al establecimiento de un marco general para la igualdad de trato en el empleo y la ocupación (COM/99/0565 final) refleja que la obligación de realizar ajustes razonables </w:t>
      </w:r>
      <w:r w:rsidRPr="00FF6FB0">
        <w:rPr>
          <w:rFonts w:cs="Calibri"/>
          <w:i/>
        </w:rPr>
        <w:t>completa y refuerza la obligación de los empresarios de adaptar el lugar de trabajo a los trabajadores con discapacidad prevista en la Directiva marco 89/391/CEE</w:t>
      </w:r>
      <w:r w:rsidRPr="00FF6FB0">
        <w:rPr>
          <w:rFonts w:cs="Calibri"/>
        </w:rPr>
        <w:t xml:space="preserve">. </w:t>
      </w:r>
    </w:p>
  </w:footnote>
  <w:footnote w:id="35">
    <w:p w:rsidR="00B67B13" w:rsidRPr="00400A6A"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r w:rsidRPr="00400A6A">
        <w:rPr>
          <w:rFonts w:cs="Calibri"/>
          <w:i/>
          <w:lang w:val="en-US"/>
        </w:rPr>
        <w:t>Vid</w:t>
      </w:r>
      <w:proofErr w:type="spellEnd"/>
      <w:r w:rsidRPr="00400A6A">
        <w:rPr>
          <w:rFonts w:cs="Calibri"/>
          <w:i/>
          <w:lang w:val="en-US"/>
        </w:rPr>
        <w:t>.</w:t>
      </w:r>
      <w:r w:rsidRPr="00400A6A">
        <w:rPr>
          <w:rFonts w:cs="Calibri"/>
          <w:lang w:val="en-US"/>
        </w:rPr>
        <w:t xml:space="preserve"> WADDINGTON, L., “</w:t>
      </w:r>
      <w:r w:rsidRPr="00FF6FB0">
        <w:rPr>
          <w:rFonts w:cs="Calibri"/>
          <w:lang w:val="en-US"/>
        </w:rPr>
        <w:t>Implementing the Disability Provisions</w:t>
      </w:r>
      <w:r>
        <w:rPr>
          <w:rFonts w:cs="Calibri"/>
          <w:lang w:val="en-US"/>
        </w:rPr>
        <w:t>...</w:t>
      </w:r>
      <w:proofErr w:type="gramStart"/>
      <w:r>
        <w:rPr>
          <w:rFonts w:cs="Calibri"/>
          <w:lang w:val="en-US"/>
        </w:rPr>
        <w:t>”</w:t>
      </w:r>
      <w:r w:rsidRPr="00400A6A">
        <w:rPr>
          <w:rFonts w:cs="Calibri"/>
          <w:lang w:val="en-US"/>
        </w:rPr>
        <w:t>,</w:t>
      </w:r>
      <w:proofErr w:type="gramEnd"/>
      <w:r w:rsidR="004131C1">
        <w:rPr>
          <w:rFonts w:cs="Calibri"/>
          <w:lang w:val="en-US"/>
        </w:rPr>
        <w:t xml:space="preserve"> </w:t>
      </w:r>
      <w:r w:rsidRPr="00400A6A">
        <w:rPr>
          <w:rFonts w:cs="Calibri"/>
          <w:i/>
          <w:lang w:val="en-US"/>
        </w:rPr>
        <w:t>op. cit.</w:t>
      </w:r>
      <w:r w:rsidRPr="00400A6A">
        <w:rPr>
          <w:rFonts w:cs="Calibri"/>
          <w:lang w:val="en-US"/>
        </w:rPr>
        <w:t xml:space="preserve">, </w:t>
      </w:r>
      <w:proofErr w:type="spellStart"/>
      <w:r w:rsidRPr="00400A6A">
        <w:rPr>
          <w:rFonts w:cs="Calibri"/>
          <w:lang w:val="en-US"/>
        </w:rPr>
        <w:t>pág</w:t>
      </w:r>
      <w:proofErr w:type="spellEnd"/>
      <w:r w:rsidRPr="00400A6A">
        <w:rPr>
          <w:rFonts w:cs="Calibri"/>
          <w:lang w:val="en-US"/>
        </w:rPr>
        <w:t xml:space="preserve">. 117. </w:t>
      </w:r>
    </w:p>
  </w:footnote>
  <w:footnote w:id="36">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Tal y como</w:t>
      </w:r>
      <w:r w:rsidR="004131C1">
        <w:rPr>
          <w:rFonts w:cs="Calibri"/>
        </w:rPr>
        <w:t xml:space="preserve"> </w:t>
      </w:r>
      <w:r w:rsidRPr="00FF6FB0">
        <w:rPr>
          <w:rFonts w:cs="Calibri"/>
        </w:rPr>
        <w:t xml:space="preserve">señala WADDINGTON, L., </w:t>
      </w:r>
      <w:proofErr w:type="spellStart"/>
      <w:r>
        <w:rPr>
          <w:rFonts w:cs="Calibri"/>
          <w:i/>
        </w:rPr>
        <w:t>Ibid.</w:t>
      </w:r>
      <w:proofErr w:type="spellEnd"/>
      <w:r>
        <w:rPr>
          <w:rFonts w:cs="Calibri"/>
        </w:rPr>
        <w:t xml:space="preserve">, </w:t>
      </w:r>
      <w:r w:rsidRPr="00FF6FB0">
        <w:rPr>
          <w:rFonts w:cs="Calibri"/>
        </w:rPr>
        <w:t xml:space="preserve">pág. 117 la no definición del ámbito protegido por la norma es una característica habitual en las directivas en materia de no discriminación. </w:t>
      </w:r>
    </w:p>
  </w:footnote>
  <w:footnote w:id="37">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proofErr w:type="spellStart"/>
      <w:r w:rsidRPr="00400A6A">
        <w:rPr>
          <w:rFonts w:cs="Calibri"/>
          <w:i/>
          <w:lang w:val="en-US"/>
        </w:rPr>
        <w:t>Vid</w:t>
      </w:r>
      <w:proofErr w:type="spellEnd"/>
      <w:r w:rsidRPr="00400A6A">
        <w:rPr>
          <w:rFonts w:cs="Calibri"/>
          <w:i/>
          <w:lang w:val="en-US"/>
        </w:rPr>
        <w:t>.</w:t>
      </w:r>
      <w:r w:rsidRPr="00400A6A">
        <w:rPr>
          <w:rFonts w:cs="Calibri"/>
          <w:lang w:val="en-US"/>
        </w:rPr>
        <w:t xml:space="preserve"> QUINN, G y FLYNN, E., “</w:t>
      </w:r>
      <w:r w:rsidRPr="00FF6FB0">
        <w:rPr>
          <w:rFonts w:cs="Calibri"/>
          <w:lang w:val="en-US"/>
        </w:rPr>
        <w:t>Transatlantic Borrowings: The Past</w:t>
      </w:r>
      <w:r>
        <w:rPr>
          <w:rFonts w:cs="Calibri"/>
          <w:lang w:val="en-US"/>
        </w:rPr>
        <w:t>…</w:t>
      </w:r>
      <w:proofErr w:type="gramStart"/>
      <w:r w:rsidRPr="00400A6A">
        <w:rPr>
          <w:rFonts w:cs="Calibri"/>
          <w:lang w:val="en-US"/>
        </w:rPr>
        <w:t>”,</w:t>
      </w:r>
      <w:proofErr w:type="gramEnd"/>
      <w:r w:rsidR="004131C1">
        <w:rPr>
          <w:rFonts w:cs="Calibri"/>
          <w:lang w:val="en-US"/>
        </w:rPr>
        <w:t xml:space="preserve"> </w:t>
      </w:r>
      <w:r w:rsidRPr="00400A6A">
        <w:rPr>
          <w:rFonts w:cs="Calibri"/>
          <w:i/>
          <w:lang w:val="en-US"/>
        </w:rPr>
        <w:t>op. cit.</w:t>
      </w:r>
      <w:r w:rsidRPr="00400A6A">
        <w:rPr>
          <w:rFonts w:cs="Calibri"/>
          <w:lang w:val="en-US"/>
        </w:rPr>
        <w:t xml:space="preserve">, </w:t>
      </w:r>
      <w:proofErr w:type="spellStart"/>
      <w:r w:rsidRPr="00400A6A">
        <w:rPr>
          <w:rFonts w:cs="Calibri"/>
          <w:lang w:val="en-US"/>
        </w:rPr>
        <w:t>págs</w:t>
      </w:r>
      <w:proofErr w:type="spellEnd"/>
      <w:r w:rsidRPr="00400A6A">
        <w:rPr>
          <w:rFonts w:cs="Calibri"/>
          <w:lang w:val="en-US"/>
        </w:rPr>
        <w:t xml:space="preserve">. </w:t>
      </w:r>
      <w:r>
        <w:rPr>
          <w:rFonts w:cs="Calibri"/>
        </w:rPr>
        <w:t xml:space="preserve">40-41, </w:t>
      </w:r>
      <w:r w:rsidRPr="00FF6FB0">
        <w:rPr>
          <w:rFonts w:cs="Calibri"/>
        </w:rPr>
        <w:t xml:space="preserve">han defendido que la ausencia de una definición se debe a que el centro de gravedad normativo recae sobre la conducta discriminatoria y no en la definición de la discapacidad, perspectiva </w:t>
      </w:r>
      <w:proofErr w:type="spellStart"/>
      <w:r w:rsidRPr="00FF6FB0">
        <w:rPr>
          <w:rFonts w:cs="Calibri"/>
        </w:rPr>
        <w:t>esta</w:t>
      </w:r>
      <w:proofErr w:type="spellEnd"/>
      <w:r w:rsidRPr="00FF6FB0">
        <w:rPr>
          <w:rFonts w:cs="Calibri"/>
        </w:rPr>
        <w:t xml:space="preserve"> muy cercana al modelo de derechos civiles americano.</w:t>
      </w:r>
    </w:p>
  </w:footnote>
  <w:footnote w:id="38">
    <w:p w:rsidR="00B67B13" w:rsidRPr="001D6346" w:rsidRDefault="00B67B13" w:rsidP="00A16672">
      <w:pPr>
        <w:pStyle w:val="Textonotapie"/>
        <w:spacing w:after="0" w:line="240" w:lineRule="auto"/>
        <w:jc w:val="both"/>
        <w:rPr>
          <w:rFonts w:cs="Calibri"/>
        </w:rPr>
      </w:pPr>
      <w:r w:rsidRPr="00FF6FB0">
        <w:rPr>
          <w:rStyle w:val="Refdenotaalpie"/>
          <w:rFonts w:cs="Calibri"/>
        </w:rPr>
        <w:footnoteRef/>
      </w:r>
      <w:r w:rsidRPr="001D6346">
        <w:rPr>
          <w:rFonts w:cs="Calibri"/>
        </w:rPr>
        <w:t>En</w:t>
      </w:r>
      <w:r w:rsidR="004131C1" w:rsidRPr="001D6346">
        <w:rPr>
          <w:rFonts w:cs="Calibri"/>
        </w:rPr>
        <w:t xml:space="preserve"> </w:t>
      </w:r>
      <w:r w:rsidRPr="001D6346">
        <w:rPr>
          <w:rFonts w:cs="Calibri"/>
        </w:rPr>
        <w:t>este</w:t>
      </w:r>
      <w:r w:rsidR="004131C1" w:rsidRPr="001D6346">
        <w:rPr>
          <w:rFonts w:cs="Calibri"/>
        </w:rPr>
        <w:t xml:space="preserve"> </w:t>
      </w:r>
      <w:r w:rsidRPr="001D6346">
        <w:rPr>
          <w:rFonts w:cs="Calibri"/>
        </w:rPr>
        <w:t>sentido, véase WADDINGTON, L., “</w:t>
      </w:r>
      <w:proofErr w:type="spellStart"/>
      <w:r w:rsidRPr="001D6346">
        <w:rPr>
          <w:rFonts w:cs="Calibri"/>
        </w:rPr>
        <w:t>Implementing</w:t>
      </w:r>
      <w:proofErr w:type="spellEnd"/>
      <w:r w:rsidRPr="001D6346">
        <w:rPr>
          <w:rFonts w:cs="Calibri"/>
        </w:rPr>
        <w:t xml:space="preserve"> </w:t>
      </w:r>
      <w:proofErr w:type="spellStart"/>
      <w:r w:rsidRPr="001D6346">
        <w:rPr>
          <w:rFonts w:cs="Calibri"/>
        </w:rPr>
        <w:t>the</w:t>
      </w:r>
      <w:proofErr w:type="spellEnd"/>
      <w:r w:rsidRPr="001D6346">
        <w:rPr>
          <w:rFonts w:cs="Calibri"/>
        </w:rPr>
        <w:t xml:space="preserve"> </w:t>
      </w:r>
      <w:proofErr w:type="spellStart"/>
      <w:r w:rsidRPr="001D6346">
        <w:rPr>
          <w:rFonts w:cs="Calibri"/>
        </w:rPr>
        <w:t>Disability</w:t>
      </w:r>
      <w:proofErr w:type="spellEnd"/>
      <w:r w:rsidRPr="001D6346">
        <w:rPr>
          <w:rFonts w:cs="Calibri"/>
        </w:rPr>
        <w:t xml:space="preserve"> </w:t>
      </w:r>
      <w:proofErr w:type="spellStart"/>
      <w:r w:rsidRPr="001D6346">
        <w:rPr>
          <w:rFonts w:cs="Calibri"/>
        </w:rPr>
        <w:t>Provisions</w:t>
      </w:r>
      <w:proofErr w:type="spellEnd"/>
      <w:r w:rsidRPr="001D6346">
        <w:rPr>
          <w:rFonts w:cs="Calibri"/>
        </w:rPr>
        <w:t xml:space="preserve">...”, </w:t>
      </w:r>
      <w:proofErr w:type="spellStart"/>
      <w:r w:rsidRPr="001D6346">
        <w:rPr>
          <w:rFonts w:cs="Calibri"/>
          <w:i/>
        </w:rPr>
        <w:t>op</w:t>
      </w:r>
      <w:proofErr w:type="spellEnd"/>
      <w:r w:rsidRPr="001D6346">
        <w:rPr>
          <w:rFonts w:cs="Calibri"/>
          <w:i/>
        </w:rPr>
        <w:t>. cit.</w:t>
      </w:r>
      <w:r w:rsidRPr="001D6346">
        <w:rPr>
          <w:rFonts w:cs="Calibri"/>
        </w:rPr>
        <w:t>, pág. 110.</w:t>
      </w:r>
    </w:p>
  </w:footnote>
  <w:footnote w:id="39">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En esta misma línea, véase BIEL PORTERO, I., </w:t>
      </w:r>
      <w:r w:rsidRPr="00FF6FB0">
        <w:rPr>
          <w:rFonts w:cs="Calibri"/>
          <w:i/>
        </w:rPr>
        <w:t>Los derechos humanos de las personas con discapacidad</w:t>
      </w:r>
      <w:r w:rsidRPr="00FF6FB0">
        <w:rPr>
          <w:rFonts w:cs="Calibri"/>
        </w:rPr>
        <w:t xml:space="preserve">, Editorial Tirant lo Blanch, Valencia, 2011, pág. </w:t>
      </w:r>
      <w:r w:rsidR="009E5051" w:rsidRPr="009E5051">
        <w:rPr>
          <w:rFonts w:cs="Calibri"/>
        </w:rPr>
        <w:t>279</w:t>
      </w:r>
      <w:r w:rsidRPr="00FF6FB0">
        <w:rPr>
          <w:rFonts w:cs="Calibri"/>
        </w:rPr>
        <w:t>; y WHITTLE, R., “</w:t>
      </w:r>
      <w:proofErr w:type="spellStart"/>
      <w:r w:rsidRPr="009E5051">
        <w:rPr>
          <w:rFonts w:cs="Calibri"/>
        </w:rPr>
        <w:t>The</w:t>
      </w:r>
      <w:proofErr w:type="spellEnd"/>
      <w:r w:rsidRPr="009E5051">
        <w:rPr>
          <w:rFonts w:cs="Calibri"/>
        </w:rPr>
        <w:t xml:space="preserve"> Framework </w:t>
      </w:r>
      <w:proofErr w:type="spellStart"/>
      <w:r w:rsidRPr="009E5051">
        <w:rPr>
          <w:rFonts w:cs="Calibri"/>
        </w:rPr>
        <w:t>Directive</w:t>
      </w:r>
      <w:proofErr w:type="spellEnd"/>
      <w:r w:rsidRPr="009E5051">
        <w:rPr>
          <w:rFonts w:cs="Calibri"/>
        </w:rPr>
        <w:t xml:space="preserve">…”, </w:t>
      </w:r>
      <w:proofErr w:type="spellStart"/>
      <w:r w:rsidRPr="009E5051">
        <w:rPr>
          <w:rFonts w:cs="Calibri"/>
          <w:i/>
        </w:rPr>
        <w:t>op</w:t>
      </w:r>
      <w:proofErr w:type="spellEnd"/>
      <w:r w:rsidRPr="009E5051">
        <w:rPr>
          <w:rFonts w:cs="Calibri"/>
          <w:i/>
        </w:rPr>
        <w:t xml:space="preserve">. </w:t>
      </w:r>
      <w:r w:rsidRPr="009E5051">
        <w:rPr>
          <w:rFonts w:cs="Calibri"/>
        </w:rPr>
        <w:t xml:space="preserve">cit., </w:t>
      </w:r>
      <w:r w:rsidRPr="00F9722D">
        <w:rPr>
          <w:rFonts w:cs="Calibri"/>
        </w:rPr>
        <w:t>pág</w:t>
      </w:r>
      <w:r w:rsidRPr="00FF6FB0">
        <w:rPr>
          <w:rFonts w:cs="Calibri"/>
        </w:rPr>
        <w:t>. 12 y 13 de la versión</w:t>
      </w:r>
      <w:r w:rsidR="009E5051">
        <w:rPr>
          <w:rFonts w:cs="Calibri"/>
        </w:rPr>
        <w:t xml:space="preserve"> </w:t>
      </w:r>
      <w:r w:rsidRPr="00FF6FB0">
        <w:rPr>
          <w:rFonts w:cs="Calibri"/>
        </w:rPr>
        <w:t xml:space="preserve">electrónica. </w:t>
      </w:r>
    </w:p>
  </w:footnote>
  <w:footnote w:id="40">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Entre las situaciones sin respuesta encontramos aquellas personas con una discapacidad menor, la existencia de una discapacidad en el pasado sin efectos actuales o aquellas personas que pueden ser calificadas como personas con discapacidad en un futuro, entre otras. </w:t>
      </w:r>
    </w:p>
  </w:footnote>
  <w:footnote w:id="41">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En efecto, los Estados Miembros se han mostrado pocos receptivos en la asunción de la definición del significado de discapacidad en el ámbito de la no discriminación en el empleo, y buena muestra de ello son Holanda y Bélgica, tal y como señala WADDINGTON, L., “</w:t>
      </w:r>
      <w:proofErr w:type="spellStart"/>
      <w:r w:rsidRPr="00400A6A">
        <w:rPr>
          <w:rFonts w:cs="Calibri"/>
        </w:rPr>
        <w:t>Implementing</w:t>
      </w:r>
      <w:proofErr w:type="spellEnd"/>
      <w:r w:rsidRPr="00400A6A">
        <w:rPr>
          <w:rFonts w:cs="Calibri"/>
        </w:rPr>
        <w:t xml:space="preserve"> </w:t>
      </w:r>
      <w:proofErr w:type="spellStart"/>
      <w:r w:rsidRPr="00400A6A">
        <w:rPr>
          <w:rFonts w:cs="Calibri"/>
        </w:rPr>
        <w:t>the</w:t>
      </w:r>
      <w:proofErr w:type="spellEnd"/>
      <w:r w:rsidRPr="00400A6A">
        <w:rPr>
          <w:rFonts w:cs="Calibri"/>
        </w:rPr>
        <w:t xml:space="preserve"> </w:t>
      </w:r>
      <w:proofErr w:type="spellStart"/>
      <w:r w:rsidRPr="00400A6A">
        <w:rPr>
          <w:rFonts w:cs="Calibri"/>
        </w:rPr>
        <w:t>Disability</w:t>
      </w:r>
      <w:proofErr w:type="spellEnd"/>
      <w:r w:rsidRPr="00400A6A">
        <w:rPr>
          <w:rFonts w:cs="Calibri"/>
        </w:rPr>
        <w:t xml:space="preserve"> </w:t>
      </w:r>
      <w:proofErr w:type="spellStart"/>
      <w:r w:rsidRPr="00400A6A">
        <w:rPr>
          <w:rFonts w:cs="Calibri"/>
        </w:rPr>
        <w:t>Provisions</w:t>
      </w:r>
      <w:proofErr w:type="spellEnd"/>
      <w:r w:rsidRPr="00400A6A">
        <w:rPr>
          <w:rFonts w:cs="Calibri"/>
        </w:rPr>
        <w:t xml:space="preserve">…”, </w:t>
      </w:r>
      <w:proofErr w:type="spellStart"/>
      <w:r w:rsidRPr="00400A6A">
        <w:rPr>
          <w:rFonts w:cs="Calibri"/>
          <w:i/>
        </w:rPr>
        <w:t>op</w:t>
      </w:r>
      <w:proofErr w:type="spellEnd"/>
      <w:r w:rsidRPr="00400A6A">
        <w:rPr>
          <w:rFonts w:cs="Calibri"/>
          <w:i/>
        </w:rPr>
        <w:t>. cit.</w:t>
      </w:r>
      <w:r w:rsidRPr="00400A6A">
        <w:rPr>
          <w:rFonts w:cs="Calibri"/>
        </w:rPr>
        <w:t>,</w:t>
      </w:r>
      <w:r w:rsidRPr="00FF6FB0">
        <w:rPr>
          <w:rFonts w:cs="Calibri"/>
        </w:rPr>
        <w:t xml:space="preserve"> pág. 119-121, así como Bulgaria, Grecia, Italia, Polonia, Romania y Eslovaquia, tal y como indica el informe “</w:t>
      </w:r>
      <w:proofErr w:type="spellStart"/>
      <w:r w:rsidRPr="00400A6A">
        <w:rPr>
          <w:rFonts w:cs="Calibri"/>
        </w:rPr>
        <w:t>Disability</w:t>
      </w:r>
      <w:proofErr w:type="spellEnd"/>
      <w:r w:rsidRPr="00400A6A">
        <w:rPr>
          <w:rFonts w:cs="Calibri"/>
        </w:rPr>
        <w:t xml:space="preserve"> and Non-</w:t>
      </w:r>
      <w:proofErr w:type="spellStart"/>
      <w:r w:rsidRPr="00400A6A">
        <w:rPr>
          <w:rFonts w:cs="Calibri"/>
        </w:rPr>
        <w:t>Discrimination</w:t>
      </w:r>
      <w:proofErr w:type="spellEnd"/>
      <w:r w:rsidRPr="00400A6A">
        <w:rPr>
          <w:rFonts w:cs="Calibri"/>
        </w:rPr>
        <w:t xml:space="preserve"> </w:t>
      </w:r>
      <w:proofErr w:type="spellStart"/>
      <w:r w:rsidRPr="00400A6A">
        <w:rPr>
          <w:rFonts w:cs="Calibri"/>
        </w:rPr>
        <w:t>Law</w:t>
      </w:r>
      <w:proofErr w:type="spellEnd"/>
      <w:r w:rsidRPr="00400A6A">
        <w:rPr>
          <w:rFonts w:cs="Calibri"/>
        </w:rPr>
        <w:t xml:space="preserve"> in </w:t>
      </w:r>
      <w:proofErr w:type="spellStart"/>
      <w:r w:rsidRPr="00400A6A">
        <w:rPr>
          <w:rFonts w:cs="Calibri"/>
        </w:rPr>
        <w:t>the</w:t>
      </w:r>
      <w:proofErr w:type="spellEnd"/>
      <w:r w:rsidRPr="00400A6A">
        <w:rPr>
          <w:rFonts w:cs="Calibri"/>
        </w:rPr>
        <w:t xml:space="preserve"> </w:t>
      </w:r>
      <w:proofErr w:type="spellStart"/>
      <w:r w:rsidRPr="00400A6A">
        <w:rPr>
          <w:rFonts w:cs="Calibri"/>
        </w:rPr>
        <w:t>European</w:t>
      </w:r>
      <w:proofErr w:type="spellEnd"/>
      <w:r w:rsidRPr="00400A6A">
        <w:rPr>
          <w:rFonts w:cs="Calibri"/>
        </w:rPr>
        <w:t xml:space="preserve"> </w:t>
      </w:r>
      <w:proofErr w:type="spellStart"/>
      <w:r w:rsidRPr="00400A6A">
        <w:rPr>
          <w:rFonts w:cs="Calibri"/>
        </w:rPr>
        <w:t>Union</w:t>
      </w:r>
      <w:proofErr w:type="spellEnd"/>
      <w:r w:rsidRPr="00FF6FB0">
        <w:rPr>
          <w:rFonts w:cs="Calibri"/>
        </w:rPr>
        <w:t xml:space="preserve">”, Comisión Europea, 2009, pág. 19. </w:t>
      </w:r>
    </w:p>
  </w:footnote>
  <w:footnote w:id="42">
    <w:p w:rsidR="00B67B13" w:rsidRPr="00556A05"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r w:rsidRPr="00400A6A">
        <w:rPr>
          <w:rFonts w:cs="Calibri"/>
          <w:i/>
          <w:lang w:val="en-US"/>
        </w:rPr>
        <w:t>Vid</w:t>
      </w:r>
      <w:proofErr w:type="spellEnd"/>
      <w:r w:rsidRPr="00400A6A">
        <w:rPr>
          <w:rFonts w:cs="Calibri"/>
          <w:i/>
          <w:lang w:val="en-US"/>
        </w:rPr>
        <w:t>.</w:t>
      </w:r>
      <w:r w:rsidRPr="00400A6A">
        <w:rPr>
          <w:rFonts w:cs="Calibri"/>
          <w:lang w:val="en-US"/>
        </w:rPr>
        <w:t xml:space="preserve"> QUINN, G y FLYNN, E., “</w:t>
      </w:r>
      <w:r w:rsidRPr="006F4698">
        <w:rPr>
          <w:rFonts w:cs="Calibri"/>
          <w:lang w:val="en-US"/>
        </w:rPr>
        <w:t>Transatlantic Borrowings: The Past</w:t>
      </w:r>
      <w:r>
        <w:rPr>
          <w:rFonts w:cs="Calibri"/>
          <w:lang w:val="en-US"/>
        </w:rPr>
        <w:t>...</w:t>
      </w:r>
      <w:proofErr w:type="gramStart"/>
      <w:r>
        <w:rPr>
          <w:rFonts w:cs="Calibri"/>
          <w:lang w:val="en-US"/>
        </w:rPr>
        <w:t>”,</w:t>
      </w:r>
      <w:proofErr w:type="gramEnd"/>
      <w:r>
        <w:rPr>
          <w:rFonts w:cs="Calibri"/>
          <w:lang w:val="en-US"/>
        </w:rPr>
        <w:t xml:space="preserve"> </w:t>
      </w:r>
      <w:r>
        <w:rPr>
          <w:rFonts w:cs="Calibri"/>
          <w:i/>
          <w:lang w:val="en-US"/>
        </w:rPr>
        <w:t>op. cit.</w:t>
      </w:r>
      <w:r>
        <w:rPr>
          <w:rFonts w:cs="Calibri"/>
          <w:lang w:val="en-US"/>
        </w:rPr>
        <w:t>,</w:t>
      </w:r>
      <w:r w:rsidRPr="00400A6A">
        <w:rPr>
          <w:rFonts w:cs="Calibri"/>
          <w:lang w:val="en-US"/>
        </w:rPr>
        <w:t xml:space="preserve"> </w:t>
      </w:r>
      <w:proofErr w:type="spellStart"/>
      <w:r w:rsidRPr="00400A6A">
        <w:rPr>
          <w:rFonts w:cs="Calibri"/>
          <w:lang w:val="en-US"/>
        </w:rPr>
        <w:t>págs</w:t>
      </w:r>
      <w:proofErr w:type="spellEnd"/>
      <w:r w:rsidRPr="00400A6A">
        <w:rPr>
          <w:rFonts w:cs="Calibri"/>
          <w:lang w:val="en-US"/>
        </w:rPr>
        <w:t xml:space="preserve">. </w:t>
      </w:r>
      <w:r w:rsidRPr="00556A05">
        <w:rPr>
          <w:rFonts w:cs="Calibri"/>
          <w:lang w:val="en-US"/>
        </w:rPr>
        <w:t>45.</w:t>
      </w:r>
    </w:p>
  </w:footnote>
  <w:footnote w:id="43">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556A05">
        <w:rPr>
          <w:rFonts w:cs="Calibri"/>
          <w:lang w:val="en-US"/>
        </w:rPr>
        <w:t xml:space="preserve"> </w:t>
      </w:r>
      <w:r w:rsidRPr="00D7028E">
        <w:rPr>
          <w:rFonts w:cs="Calibri"/>
          <w:lang w:val="en-US"/>
        </w:rPr>
        <w:t xml:space="preserve">Para </w:t>
      </w:r>
      <w:proofErr w:type="gramStart"/>
      <w:r w:rsidRPr="00D7028E">
        <w:rPr>
          <w:rFonts w:cs="Calibri"/>
          <w:lang w:val="en-US"/>
        </w:rPr>
        <w:t>un</w:t>
      </w:r>
      <w:proofErr w:type="gramEnd"/>
      <w:r w:rsidR="009E5051" w:rsidRPr="00D7028E">
        <w:rPr>
          <w:rFonts w:cs="Calibri"/>
          <w:lang w:val="en-US"/>
        </w:rPr>
        <w:t xml:space="preserve"> </w:t>
      </w:r>
      <w:proofErr w:type="spellStart"/>
      <w:r w:rsidRPr="00D7028E">
        <w:rPr>
          <w:rFonts w:cs="Calibri"/>
          <w:lang w:val="en-US"/>
        </w:rPr>
        <w:t>análisis</w:t>
      </w:r>
      <w:proofErr w:type="spellEnd"/>
      <w:r w:rsidR="009E5051" w:rsidRPr="00D7028E">
        <w:rPr>
          <w:rFonts w:cs="Calibri"/>
          <w:lang w:val="en-US"/>
        </w:rPr>
        <w:t xml:space="preserve"> </w:t>
      </w:r>
      <w:r w:rsidRPr="00D7028E">
        <w:rPr>
          <w:rFonts w:cs="Calibri"/>
          <w:lang w:val="en-US"/>
        </w:rPr>
        <w:t>en</w:t>
      </w:r>
      <w:r w:rsidR="009E5051" w:rsidRPr="00D7028E">
        <w:rPr>
          <w:rFonts w:cs="Calibri"/>
          <w:lang w:val="en-US"/>
        </w:rPr>
        <w:t xml:space="preserve"> </w:t>
      </w:r>
      <w:proofErr w:type="spellStart"/>
      <w:r w:rsidRPr="00D7028E">
        <w:rPr>
          <w:rFonts w:cs="Calibri"/>
          <w:lang w:val="en-US"/>
        </w:rPr>
        <w:t>profundidad</w:t>
      </w:r>
      <w:proofErr w:type="spellEnd"/>
      <w:r w:rsidR="009E5051" w:rsidRPr="00D7028E">
        <w:rPr>
          <w:rFonts w:cs="Calibri"/>
          <w:lang w:val="en-US"/>
        </w:rPr>
        <w:t xml:space="preserve"> </w:t>
      </w:r>
      <w:proofErr w:type="spellStart"/>
      <w:r w:rsidRPr="00D7028E">
        <w:rPr>
          <w:rFonts w:cs="Calibri"/>
          <w:lang w:val="en-US"/>
        </w:rPr>
        <w:t>sobre</w:t>
      </w:r>
      <w:proofErr w:type="spellEnd"/>
      <w:r w:rsidR="009E5051" w:rsidRPr="00D7028E">
        <w:rPr>
          <w:rFonts w:cs="Calibri"/>
          <w:lang w:val="en-US"/>
        </w:rPr>
        <w:t xml:space="preserve"> </w:t>
      </w:r>
      <w:proofErr w:type="spellStart"/>
      <w:r w:rsidRPr="00D7028E">
        <w:rPr>
          <w:rFonts w:cs="Calibri"/>
          <w:lang w:val="en-US"/>
        </w:rPr>
        <w:t>esta</w:t>
      </w:r>
      <w:proofErr w:type="spellEnd"/>
      <w:r w:rsidR="009E5051" w:rsidRPr="00D7028E">
        <w:rPr>
          <w:rFonts w:cs="Calibri"/>
          <w:lang w:val="en-US"/>
        </w:rPr>
        <w:t xml:space="preserve"> </w:t>
      </w:r>
      <w:proofErr w:type="spellStart"/>
      <w:r w:rsidRPr="00D7028E">
        <w:rPr>
          <w:rFonts w:cs="Calibri"/>
          <w:lang w:val="en-US"/>
        </w:rPr>
        <w:t>problemática</w:t>
      </w:r>
      <w:proofErr w:type="spellEnd"/>
      <w:r w:rsidRPr="00556A05">
        <w:rPr>
          <w:rFonts w:cs="Calibri"/>
          <w:lang w:val="en-US"/>
        </w:rPr>
        <w:t xml:space="preserve">, </w:t>
      </w:r>
      <w:proofErr w:type="spellStart"/>
      <w:r w:rsidRPr="00556A05">
        <w:rPr>
          <w:rFonts w:cs="Calibri"/>
          <w:lang w:val="en-US"/>
        </w:rPr>
        <w:t>véase</w:t>
      </w:r>
      <w:proofErr w:type="spellEnd"/>
      <w:r w:rsidRPr="00556A05">
        <w:rPr>
          <w:rFonts w:cs="Calibri"/>
          <w:lang w:val="en-US"/>
        </w:rPr>
        <w:t xml:space="preserve"> FAVALLI, S. y FERRI, D., “Defining Disability in the European Union Non-discrimination Legislation: Judicial Activism and Legislative Restraints”, </w:t>
      </w:r>
      <w:r w:rsidRPr="00556A05">
        <w:rPr>
          <w:rFonts w:cs="Calibri"/>
          <w:i/>
          <w:lang w:val="en-US"/>
        </w:rPr>
        <w:t>European Public Law</w:t>
      </w:r>
      <w:r w:rsidRPr="00556A05">
        <w:rPr>
          <w:rFonts w:cs="Calibri"/>
          <w:lang w:val="en-US"/>
        </w:rPr>
        <w:t xml:space="preserve">, vol. 22, </w:t>
      </w:r>
      <w:proofErr w:type="spellStart"/>
      <w:r w:rsidRPr="00556A05">
        <w:rPr>
          <w:rFonts w:cs="Calibri"/>
          <w:lang w:val="en-US"/>
        </w:rPr>
        <w:t>núm</w:t>
      </w:r>
      <w:proofErr w:type="spellEnd"/>
      <w:r w:rsidRPr="00556A05">
        <w:rPr>
          <w:rFonts w:cs="Calibri"/>
          <w:lang w:val="en-US"/>
        </w:rPr>
        <w:t xml:space="preserve">. </w:t>
      </w:r>
      <w:proofErr w:type="gramStart"/>
      <w:r w:rsidRPr="00556A05">
        <w:rPr>
          <w:rFonts w:cs="Calibri"/>
          <w:lang w:val="en-US"/>
        </w:rPr>
        <w:t xml:space="preserve">3, 2016, </w:t>
      </w:r>
      <w:proofErr w:type="spellStart"/>
      <w:r w:rsidRPr="00556A05">
        <w:rPr>
          <w:rFonts w:cs="Calibri"/>
          <w:lang w:val="en-US"/>
        </w:rPr>
        <w:t>págs</w:t>
      </w:r>
      <w:proofErr w:type="spellEnd"/>
      <w:r w:rsidRPr="00556A05">
        <w:rPr>
          <w:rFonts w:cs="Calibri"/>
          <w:lang w:val="en-US"/>
        </w:rPr>
        <w:t>.</w:t>
      </w:r>
      <w:proofErr w:type="gramEnd"/>
      <w:r w:rsidRPr="00556A05">
        <w:rPr>
          <w:rFonts w:cs="Calibri"/>
          <w:lang w:val="en-US"/>
        </w:rPr>
        <w:t xml:space="preserve"> </w:t>
      </w:r>
      <w:r w:rsidRPr="00FF6FB0">
        <w:rPr>
          <w:rFonts w:cs="Calibri"/>
        </w:rPr>
        <w:t>541-568; HOSKING, D., “</w:t>
      </w:r>
      <w:r w:rsidRPr="00400A6A">
        <w:rPr>
          <w:rFonts w:cs="Calibri"/>
        </w:rPr>
        <w:t xml:space="preserve">Great </w:t>
      </w:r>
      <w:proofErr w:type="spellStart"/>
      <w:r w:rsidRPr="00400A6A">
        <w:rPr>
          <w:rFonts w:cs="Calibri"/>
        </w:rPr>
        <w:t>Expectations</w:t>
      </w:r>
      <w:proofErr w:type="spellEnd"/>
      <w:r w:rsidRPr="00400A6A">
        <w:rPr>
          <w:rFonts w:cs="Calibri"/>
        </w:rPr>
        <w:t xml:space="preserve">…”, </w:t>
      </w:r>
      <w:proofErr w:type="spellStart"/>
      <w:r w:rsidRPr="00400A6A">
        <w:rPr>
          <w:rFonts w:cs="Calibri"/>
          <w:i/>
        </w:rPr>
        <w:t>op</w:t>
      </w:r>
      <w:proofErr w:type="spellEnd"/>
      <w:r w:rsidRPr="00400A6A">
        <w:rPr>
          <w:rFonts w:cs="Calibri"/>
          <w:i/>
        </w:rPr>
        <w:t>. cit.</w:t>
      </w:r>
      <w:r w:rsidRPr="00400A6A">
        <w:rPr>
          <w:rFonts w:cs="Calibri"/>
        </w:rPr>
        <w:t xml:space="preserve">, </w:t>
      </w:r>
      <w:r w:rsidRPr="00FF6FB0">
        <w:rPr>
          <w:rFonts w:cs="Calibri"/>
        </w:rPr>
        <w:t xml:space="preserve">págs. 9 </w:t>
      </w:r>
      <w:r>
        <w:rPr>
          <w:rFonts w:cs="Calibri"/>
        </w:rPr>
        <w:t>y 10 (versión electrónica)</w:t>
      </w:r>
    </w:p>
  </w:footnote>
  <w:footnote w:id="4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El ejemplo que mejor ilustra esta propuesta es la opción por la que opta la Directiva 98/59/CE del Consejo de 20 de julio de 1998, relativa a la aproximación de las legislaciones de los Estados Miembros que se refieren a los despidos colectivos, que ofrece a los estados miembros varias opciones respecto a la caracterización de los despidos colectivos, lo cual permite una cierta flexibilidad en la conceptualización de los despidos colectivos, sin que ello perjudique la armonización de esta medida de flexibilidad externa.  </w:t>
      </w:r>
    </w:p>
  </w:footnote>
  <w:footnote w:id="45">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i/>
        </w:rPr>
        <w:t>Vid.</w:t>
      </w:r>
      <w:r w:rsidR="00374D9B">
        <w:rPr>
          <w:rFonts w:cs="Calibri"/>
          <w:i/>
        </w:rPr>
        <w:t xml:space="preserve"> </w:t>
      </w:r>
      <w:proofErr w:type="spellStart"/>
      <w:r w:rsidRPr="00FF6FB0">
        <w:rPr>
          <w:rFonts w:cs="Calibri"/>
        </w:rPr>
        <w:t>HIE</w:t>
      </w:r>
      <w:r w:rsidRPr="00FF6FB0">
        <w:rPr>
          <w:rFonts w:cs="Calibri"/>
          <w:bCs/>
        </w:rPr>
        <w:t>ß</w:t>
      </w:r>
      <w:proofErr w:type="spellEnd"/>
      <w:r w:rsidRPr="00FF6FB0">
        <w:rPr>
          <w:rFonts w:cs="Calibri"/>
        </w:rPr>
        <w:t>, C. y BOOT, G., “</w:t>
      </w:r>
      <w:proofErr w:type="spellStart"/>
      <w:r w:rsidRPr="00374D9B">
        <w:rPr>
          <w:rFonts w:cs="Calibri"/>
        </w:rPr>
        <w:t>The</w:t>
      </w:r>
      <w:proofErr w:type="spellEnd"/>
      <w:r w:rsidRPr="00374D9B">
        <w:rPr>
          <w:rFonts w:cs="Calibri"/>
        </w:rPr>
        <w:t xml:space="preserve"> </w:t>
      </w:r>
      <w:proofErr w:type="spellStart"/>
      <w:r w:rsidRPr="00374D9B">
        <w:rPr>
          <w:rFonts w:cs="Calibri"/>
        </w:rPr>
        <w:t>Application</w:t>
      </w:r>
      <w:proofErr w:type="spellEnd"/>
      <w:r w:rsidRPr="00374D9B">
        <w:rPr>
          <w:rFonts w:cs="Calibri"/>
        </w:rPr>
        <w:t xml:space="preserve"> of </w:t>
      </w:r>
      <w:proofErr w:type="spellStart"/>
      <w:r w:rsidRPr="00374D9B">
        <w:rPr>
          <w:rFonts w:cs="Calibri"/>
        </w:rPr>
        <w:t>the</w:t>
      </w:r>
      <w:proofErr w:type="spellEnd"/>
      <w:r w:rsidRPr="00374D9B">
        <w:rPr>
          <w:rFonts w:cs="Calibri"/>
        </w:rPr>
        <w:t xml:space="preserve"> EU Framework </w:t>
      </w:r>
      <w:proofErr w:type="spellStart"/>
      <w:r w:rsidRPr="00374D9B">
        <w:rPr>
          <w:rFonts w:cs="Calibri"/>
        </w:rPr>
        <w:t>for</w:t>
      </w:r>
      <w:proofErr w:type="spellEnd"/>
      <w:r w:rsidRPr="00374D9B">
        <w:rPr>
          <w:rFonts w:cs="Calibri"/>
        </w:rPr>
        <w:t xml:space="preserve"> </w:t>
      </w:r>
      <w:proofErr w:type="spellStart"/>
      <w:r w:rsidRPr="00374D9B">
        <w:rPr>
          <w:rFonts w:cs="Calibri"/>
        </w:rPr>
        <w:t>Disability</w:t>
      </w:r>
      <w:proofErr w:type="spellEnd"/>
      <w:r w:rsidRPr="00374D9B">
        <w:rPr>
          <w:rFonts w:cs="Calibri"/>
        </w:rPr>
        <w:t xml:space="preserve"> </w:t>
      </w:r>
      <w:proofErr w:type="spellStart"/>
      <w:r w:rsidRPr="00374D9B">
        <w:rPr>
          <w:rFonts w:cs="Calibri"/>
        </w:rPr>
        <w:t>Discrimination</w:t>
      </w:r>
      <w:proofErr w:type="spellEnd"/>
      <w:r w:rsidRPr="00374D9B">
        <w:rPr>
          <w:rFonts w:cs="Calibri"/>
        </w:rPr>
        <w:t xml:space="preserve"> in 18 </w:t>
      </w:r>
      <w:proofErr w:type="spellStart"/>
      <w:r w:rsidRPr="00374D9B">
        <w:rPr>
          <w:rFonts w:cs="Calibri"/>
        </w:rPr>
        <w:t>European</w:t>
      </w:r>
      <w:proofErr w:type="spellEnd"/>
      <w:r w:rsidRPr="00374D9B">
        <w:rPr>
          <w:rFonts w:cs="Calibri"/>
        </w:rPr>
        <w:t xml:space="preserve"> </w:t>
      </w:r>
      <w:proofErr w:type="spellStart"/>
      <w:r w:rsidRPr="00374D9B">
        <w:rPr>
          <w:rFonts w:cs="Calibri"/>
        </w:rPr>
        <w:t>Countries</w:t>
      </w:r>
      <w:proofErr w:type="spellEnd"/>
      <w:r w:rsidRPr="00374D9B">
        <w:rPr>
          <w:rFonts w:cs="Calibri"/>
        </w:rPr>
        <w:t xml:space="preserve">”, </w:t>
      </w:r>
      <w:proofErr w:type="spellStart"/>
      <w:r w:rsidRPr="00374D9B">
        <w:rPr>
          <w:rFonts w:cs="Calibri"/>
          <w:i/>
        </w:rPr>
        <w:t>European</w:t>
      </w:r>
      <w:proofErr w:type="spellEnd"/>
      <w:r w:rsidRPr="00374D9B">
        <w:rPr>
          <w:rFonts w:cs="Calibri"/>
          <w:i/>
        </w:rPr>
        <w:t xml:space="preserve"> </w:t>
      </w:r>
      <w:proofErr w:type="spellStart"/>
      <w:r w:rsidRPr="00374D9B">
        <w:rPr>
          <w:rFonts w:cs="Calibri"/>
          <w:i/>
        </w:rPr>
        <w:t>Labour</w:t>
      </w:r>
      <w:proofErr w:type="spellEnd"/>
      <w:r w:rsidRPr="00374D9B">
        <w:rPr>
          <w:rFonts w:cs="Calibri"/>
          <w:i/>
        </w:rPr>
        <w:t xml:space="preserve"> </w:t>
      </w:r>
      <w:proofErr w:type="spellStart"/>
      <w:r w:rsidRPr="00374D9B">
        <w:rPr>
          <w:rFonts w:cs="Calibri"/>
          <w:i/>
        </w:rPr>
        <w:t>Law</w:t>
      </w:r>
      <w:proofErr w:type="spellEnd"/>
      <w:r w:rsidRPr="00374D9B">
        <w:rPr>
          <w:rFonts w:cs="Calibri"/>
          <w:i/>
        </w:rPr>
        <w:t xml:space="preserve"> </w:t>
      </w:r>
      <w:proofErr w:type="spellStart"/>
      <w:r w:rsidRPr="00374D9B">
        <w:rPr>
          <w:rFonts w:cs="Calibri"/>
          <w:i/>
        </w:rPr>
        <w:t>Journal</w:t>
      </w:r>
      <w:proofErr w:type="spellEnd"/>
      <w:r w:rsidRPr="00FF6FB0">
        <w:rPr>
          <w:rFonts w:cs="Calibri"/>
        </w:rPr>
        <w:t xml:space="preserve">, vol. 4, núm.2, 2013, pág. 124, que muestran las diferencias sustanciales entre los distintos Estados Miembros en esta materia. A título de ejemplo, y tal y como señalan los autores, mientras que países como Luxemburgo exige el reconocimiento de un porcentaje de discapacidad no inferior al 30 %, otros países como Alemania o Austria requieren el reconocimiento de un porcentaje de discapacidad mínimo del 50 %. Un estudio en profundidad sobre la situación comparada del concepto de persona con discapacidad puede hallarse en </w:t>
      </w:r>
      <w:r w:rsidRPr="00C976C4">
        <w:rPr>
          <w:rFonts w:cs="Calibri"/>
        </w:rPr>
        <w:t xml:space="preserve">PÉREZ </w:t>
      </w:r>
      <w:proofErr w:type="spellStart"/>
      <w:r w:rsidRPr="00C976C4">
        <w:rPr>
          <w:rFonts w:cs="Calibri"/>
        </w:rPr>
        <w:t>PÉREZ</w:t>
      </w:r>
      <w:proofErr w:type="spellEnd"/>
      <w:r w:rsidRPr="00C976C4">
        <w:rPr>
          <w:rFonts w:cs="Calibri"/>
        </w:rPr>
        <w:t xml:space="preserve">, J., “Discapacidad y acción positiva: Incentivación de la contratación laboral y cuotas de reserva de empleo”, </w:t>
      </w:r>
      <w:proofErr w:type="spellStart"/>
      <w:r w:rsidRPr="00C976C4">
        <w:rPr>
          <w:rFonts w:cs="Calibri"/>
        </w:rPr>
        <w:t>Lex</w:t>
      </w:r>
      <w:proofErr w:type="spellEnd"/>
      <w:r w:rsidRPr="00C976C4">
        <w:rPr>
          <w:rFonts w:cs="Calibri"/>
        </w:rPr>
        <w:t xml:space="preserve"> Nova, 2015, págs. 118 a 138.</w:t>
      </w:r>
    </w:p>
  </w:footnote>
  <w:footnote w:id="46">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Sobre esta cuestión, la diversidad de regulaciones internas también se pone de manifiesto por </w:t>
      </w:r>
      <w:proofErr w:type="spellStart"/>
      <w:r w:rsidRPr="00FF6FB0">
        <w:rPr>
          <w:rFonts w:cs="Calibri"/>
        </w:rPr>
        <w:t>HIE</w:t>
      </w:r>
      <w:r w:rsidRPr="00FF6FB0">
        <w:rPr>
          <w:rFonts w:cs="Calibri"/>
          <w:bCs/>
        </w:rPr>
        <w:t>ß</w:t>
      </w:r>
      <w:proofErr w:type="spellEnd"/>
      <w:r w:rsidRPr="00FF6FB0">
        <w:rPr>
          <w:rFonts w:cs="Calibri"/>
        </w:rPr>
        <w:t xml:space="preserve">, C. y BOOT, </w:t>
      </w:r>
      <w:proofErr w:type="spellStart"/>
      <w:r w:rsidRPr="00FF6FB0">
        <w:rPr>
          <w:rFonts w:cs="Calibri"/>
        </w:rPr>
        <w:t>G.</w:t>
      </w:r>
      <w:proofErr w:type="gramStart"/>
      <w:r w:rsidRPr="00FF6FB0">
        <w:rPr>
          <w:rFonts w:cs="Calibri"/>
        </w:rPr>
        <w:t>,</w:t>
      </w:r>
      <w:r>
        <w:rPr>
          <w:rFonts w:cs="Calibri"/>
          <w:i/>
        </w:rPr>
        <w:t>Ibid</w:t>
      </w:r>
      <w:proofErr w:type="spellEnd"/>
      <w:proofErr w:type="gramEnd"/>
      <w:r w:rsidRPr="00C77C83">
        <w:rPr>
          <w:rFonts w:cs="Calibri"/>
        </w:rPr>
        <w:t>.,</w:t>
      </w:r>
      <w:r w:rsidR="00374D9B">
        <w:rPr>
          <w:rFonts w:cs="Calibri"/>
        </w:rPr>
        <w:t xml:space="preserve"> </w:t>
      </w:r>
      <w:r w:rsidRPr="00FF6FB0">
        <w:rPr>
          <w:rFonts w:cs="Calibri"/>
        </w:rPr>
        <w:t xml:space="preserve">pág. 125. </w:t>
      </w:r>
    </w:p>
  </w:footnote>
  <w:footnote w:id="47">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El artículo 2 de la Convención, encargado de plasmar distintas definiciones, constata como comportamiento discriminatorio por razón de discapacidad la denegación de la realización de los ajustes razonables. </w:t>
      </w:r>
    </w:p>
  </w:footnote>
  <w:footnote w:id="48">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Así, Países Bajos, Bélgica, Reino Unido, Suecia, han procedido, en el marco de la transposición de la Directiva 2000/78, a constatar la consideración de la no realización de ajustes razonables como comportamiento discriminatorio. </w:t>
      </w:r>
      <w:r w:rsidRPr="00400A6A">
        <w:rPr>
          <w:rFonts w:cs="Calibri"/>
          <w:lang w:val="en-US"/>
        </w:rPr>
        <w:t xml:space="preserve">No obstante, WADDINGTON, L. y HENDRIKS, A., </w:t>
      </w:r>
      <w:proofErr w:type="spellStart"/>
      <w:r w:rsidRPr="00400A6A">
        <w:rPr>
          <w:rFonts w:cs="Calibri"/>
          <w:lang w:val="en-US"/>
        </w:rPr>
        <w:t>señalan</w:t>
      </w:r>
      <w:proofErr w:type="spellEnd"/>
      <w:r w:rsidR="004131C1">
        <w:rPr>
          <w:rFonts w:cs="Calibri"/>
          <w:lang w:val="en-US"/>
        </w:rPr>
        <w:t xml:space="preserve"> </w:t>
      </w:r>
      <w:r w:rsidRPr="00400A6A">
        <w:rPr>
          <w:rFonts w:cs="Calibri"/>
          <w:lang w:val="en-US"/>
        </w:rPr>
        <w:t>en “</w:t>
      </w:r>
      <w:r w:rsidRPr="00C976C4">
        <w:rPr>
          <w:rFonts w:cs="Calibri"/>
          <w:lang w:val="en-US"/>
        </w:rPr>
        <w:t xml:space="preserve">The Expanding Concept of Employment Discrimination in Europe: From Direct and Indirect Discrimination to Reasonable Accommodation Discrimination”, </w:t>
      </w:r>
      <w:r w:rsidRPr="00C976C4">
        <w:rPr>
          <w:rFonts w:cs="Calibri"/>
          <w:i/>
          <w:lang w:val="en-US"/>
        </w:rPr>
        <w:t xml:space="preserve">International Journal of Comparative </w:t>
      </w:r>
      <w:proofErr w:type="spellStart"/>
      <w:r w:rsidRPr="00C976C4">
        <w:rPr>
          <w:rFonts w:cs="Calibri"/>
          <w:i/>
          <w:lang w:val="en-US"/>
        </w:rPr>
        <w:t>Labour</w:t>
      </w:r>
      <w:proofErr w:type="spellEnd"/>
      <w:r w:rsidRPr="00C976C4">
        <w:rPr>
          <w:rFonts w:cs="Calibri"/>
          <w:i/>
          <w:lang w:val="en-US"/>
        </w:rPr>
        <w:t xml:space="preserve"> Law and Industrial Relations</w:t>
      </w:r>
      <w:r w:rsidRPr="00400A6A">
        <w:rPr>
          <w:rFonts w:cs="Calibri"/>
          <w:lang w:val="en-US"/>
        </w:rPr>
        <w:t xml:space="preserve">, </w:t>
      </w:r>
      <w:proofErr w:type="spellStart"/>
      <w:r w:rsidRPr="00400A6A">
        <w:rPr>
          <w:rFonts w:cs="Calibri"/>
          <w:lang w:val="en-US"/>
        </w:rPr>
        <w:t>núm</w:t>
      </w:r>
      <w:proofErr w:type="spellEnd"/>
      <w:r w:rsidRPr="00400A6A">
        <w:rPr>
          <w:rFonts w:cs="Calibri"/>
          <w:lang w:val="en-US"/>
        </w:rPr>
        <w:t xml:space="preserve">. </w:t>
      </w:r>
      <w:proofErr w:type="gramStart"/>
      <w:r w:rsidRPr="00400A6A">
        <w:rPr>
          <w:rFonts w:cs="Calibri"/>
          <w:lang w:val="en-US"/>
        </w:rPr>
        <w:t xml:space="preserve">18, 2002, </w:t>
      </w:r>
      <w:proofErr w:type="spellStart"/>
      <w:r w:rsidRPr="00400A6A">
        <w:rPr>
          <w:rFonts w:cs="Calibri"/>
          <w:lang w:val="en-US"/>
        </w:rPr>
        <w:t>págs</w:t>
      </w:r>
      <w:proofErr w:type="spellEnd"/>
      <w:r w:rsidRPr="00400A6A">
        <w:rPr>
          <w:rFonts w:cs="Calibri"/>
          <w:lang w:val="en-US"/>
        </w:rPr>
        <w:t>.</w:t>
      </w:r>
      <w:proofErr w:type="gramEnd"/>
      <w:r w:rsidRPr="00400A6A">
        <w:rPr>
          <w:rFonts w:cs="Calibri"/>
          <w:lang w:val="en-US"/>
        </w:rPr>
        <w:t xml:space="preserve"> </w:t>
      </w:r>
      <w:r w:rsidRPr="00FF6FB0">
        <w:rPr>
          <w:rFonts w:cs="Calibri"/>
        </w:rPr>
        <w:t>403-427, que la implementación en Países Bajos y Bélgica no especifica qué tipo de discriminación –directa o indirecta- es un  incumplimiento de este tipo, y los autores defienden la necesidad de que dicho incumplimiento constituya una categoría propia ajena a la discriminación directa o indirecta. Incluso países no miembros de la Unión Europea, a saber Australia, Nueva Zelanda y Sudáfrica han adoptado la no realización de los ajustes razonables como forma de discriminación, tal y como señala WADDINGTON, L. y HENDRIKS, A., “</w:t>
      </w:r>
      <w:proofErr w:type="spellStart"/>
      <w:r w:rsidRPr="00400A6A">
        <w:rPr>
          <w:rFonts w:cs="Calibri"/>
        </w:rPr>
        <w:t>The</w:t>
      </w:r>
      <w:proofErr w:type="spellEnd"/>
      <w:r w:rsidRPr="00400A6A">
        <w:rPr>
          <w:rFonts w:cs="Calibri"/>
        </w:rPr>
        <w:t xml:space="preserve"> </w:t>
      </w:r>
      <w:proofErr w:type="spellStart"/>
      <w:r w:rsidRPr="00400A6A">
        <w:rPr>
          <w:rFonts w:cs="Calibri"/>
        </w:rPr>
        <w:t>Expanding</w:t>
      </w:r>
      <w:proofErr w:type="spellEnd"/>
      <w:r w:rsidRPr="00400A6A">
        <w:rPr>
          <w:rFonts w:cs="Calibri"/>
        </w:rPr>
        <w:t xml:space="preserve"> Concept of </w:t>
      </w:r>
      <w:proofErr w:type="spellStart"/>
      <w:r w:rsidRPr="00400A6A">
        <w:rPr>
          <w:rFonts w:cs="Calibri"/>
        </w:rPr>
        <w:t>Employment</w:t>
      </w:r>
      <w:proofErr w:type="spellEnd"/>
      <w:r w:rsidRPr="00400A6A">
        <w:rPr>
          <w:rFonts w:cs="Calibri"/>
        </w:rPr>
        <w:t xml:space="preserve"> </w:t>
      </w:r>
      <w:proofErr w:type="spellStart"/>
      <w:r w:rsidRPr="00400A6A">
        <w:rPr>
          <w:rFonts w:cs="Calibri"/>
        </w:rPr>
        <w:t>Discrimination</w:t>
      </w:r>
      <w:proofErr w:type="spellEnd"/>
      <w:r w:rsidRPr="00400A6A">
        <w:rPr>
          <w:rFonts w:cs="Calibri"/>
        </w:rPr>
        <w:t xml:space="preserve"> in </w:t>
      </w:r>
      <w:proofErr w:type="spellStart"/>
      <w:r w:rsidRPr="00400A6A">
        <w:rPr>
          <w:rFonts w:cs="Calibri"/>
        </w:rPr>
        <w:t>Europe</w:t>
      </w:r>
      <w:proofErr w:type="spellEnd"/>
      <w:r w:rsidRPr="00400A6A">
        <w:rPr>
          <w:rFonts w:cs="Calibri"/>
        </w:rPr>
        <w:t xml:space="preserve">: </w:t>
      </w:r>
      <w:proofErr w:type="spellStart"/>
      <w:r w:rsidRPr="00400A6A">
        <w:rPr>
          <w:rFonts w:cs="Calibri"/>
        </w:rPr>
        <w:t>From</w:t>
      </w:r>
      <w:proofErr w:type="spellEnd"/>
      <w:r w:rsidRPr="00400A6A">
        <w:rPr>
          <w:rFonts w:cs="Calibri"/>
        </w:rPr>
        <w:t xml:space="preserve"> </w:t>
      </w:r>
      <w:proofErr w:type="spellStart"/>
      <w:r w:rsidRPr="00400A6A">
        <w:rPr>
          <w:rFonts w:cs="Calibri"/>
        </w:rPr>
        <w:t>Direct</w:t>
      </w:r>
      <w:proofErr w:type="spellEnd"/>
      <w:r w:rsidRPr="00400A6A">
        <w:rPr>
          <w:rFonts w:cs="Calibri"/>
        </w:rPr>
        <w:t xml:space="preserve"> and </w:t>
      </w:r>
      <w:proofErr w:type="spellStart"/>
      <w:r w:rsidRPr="00400A6A">
        <w:rPr>
          <w:rFonts w:cs="Calibri"/>
        </w:rPr>
        <w:t>Indirect</w:t>
      </w:r>
      <w:proofErr w:type="spellEnd"/>
      <w:r w:rsidRPr="00400A6A">
        <w:rPr>
          <w:rFonts w:cs="Calibri"/>
        </w:rPr>
        <w:t xml:space="preserve"> </w:t>
      </w:r>
      <w:proofErr w:type="spellStart"/>
      <w:r w:rsidRPr="00400A6A">
        <w:rPr>
          <w:rFonts w:cs="Calibri"/>
        </w:rPr>
        <w:t>Discrimination</w:t>
      </w:r>
      <w:proofErr w:type="spellEnd"/>
      <w:r w:rsidRPr="00400A6A">
        <w:rPr>
          <w:rFonts w:cs="Calibri"/>
        </w:rPr>
        <w:t xml:space="preserve"> </w:t>
      </w:r>
      <w:proofErr w:type="spellStart"/>
      <w:r w:rsidRPr="00400A6A">
        <w:rPr>
          <w:rFonts w:cs="Calibri"/>
        </w:rPr>
        <w:t>to</w:t>
      </w:r>
      <w:proofErr w:type="spellEnd"/>
      <w:r w:rsidRPr="00400A6A">
        <w:rPr>
          <w:rFonts w:cs="Calibri"/>
        </w:rPr>
        <w:t xml:space="preserve"> </w:t>
      </w:r>
      <w:proofErr w:type="spellStart"/>
      <w:r w:rsidRPr="00400A6A">
        <w:rPr>
          <w:rFonts w:cs="Calibri"/>
        </w:rPr>
        <w:t>Reasonable</w:t>
      </w:r>
      <w:proofErr w:type="spellEnd"/>
      <w:r w:rsidRPr="00400A6A">
        <w:rPr>
          <w:rFonts w:cs="Calibri"/>
        </w:rPr>
        <w:t xml:space="preserve"> </w:t>
      </w:r>
      <w:proofErr w:type="spellStart"/>
      <w:r w:rsidRPr="00400A6A">
        <w:rPr>
          <w:rFonts w:cs="Calibri"/>
        </w:rPr>
        <w:t>Accomodation</w:t>
      </w:r>
      <w:proofErr w:type="spellEnd"/>
      <w:r w:rsidRPr="00400A6A">
        <w:rPr>
          <w:rFonts w:cs="Calibri"/>
        </w:rPr>
        <w:t xml:space="preserve"> </w:t>
      </w:r>
      <w:proofErr w:type="spellStart"/>
      <w:r w:rsidRPr="00400A6A">
        <w:rPr>
          <w:rFonts w:cs="Calibri"/>
        </w:rPr>
        <w:t>Discrimination</w:t>
      </w:r>
      <w:proofErr w:type="spellEnd"/>
      <w:r w:rsidRPr="00400A6A">
        <w:rPr>
          <w:rFonts w:cs="Calibri"/>
        </w:rPr>
        <w:t xml:space="preserve">”, </w:t>
      </w:r>
      <w:r w:rsidRPr="00400A6A">
        <w:rPr>
          <w:rFonts w:cs="Calibri"/>
          <w:i/>
        </w:rPr>
        <w:t xml:space="preserve">International </w:t>
      </w:r>
      <w:proofErr w:type="spellStart"/>
      <w:r w:rsidRPr="00400A6A">
        <w:rPr>
          <w:rFonts w:cs="Calibri"/>
          <w:i/>
        </w:rPr>
        <w:t>Journal</w:t>
      </w:r>
      <w:proofErr w:type="spellEnd"/>
      <w:r w:rsidRPr="00400A6A">
        <w:rPr>
          <w:rFonts w:cs="Calibri"/>
          <w:i/>
        </w:rPr>
        <w:t xml:space="preserve"> of </w:t>
      </w:r>
      <w:proofErr w:type="spellStart"/>
      <w:r w:rsidRPr="00400A6A">
        <w:rPr>
          <w:rFonts w:cs="Calibri"/>
          <w:i/>
        </w:rPr>
        <w:t>Comparative</w:t>
      </w:r>
      <w:proofErr w:type="spellEnd"/>
      <w:r w:rsidRPr="00400A6A">
        <w:rPr>
          <w:rFonts w:cs="Calibri"/>
          <w:i/>
        </w:rPr>
        <w:t xml:space="preserve"> </w:t>
      </w:r>
      <w:proofErr w:type="spellStart"/>
      <w:r w:rsidRPr="00400A6A">
        <w:rPr>
          <w:rFonts w:cs="Calibri"/>
          <w:i/>
        </w:rPr>
        <w:t>Labour</w:t>
      </w:r>
      <w:proofErr w:type="spellEnd"/>
      <w:r w:rsidRPr="00400A6A">
        <w:rPr>
          <w:rFonts w:cs="Calibri"/>
          <w:i/>
        </w:rPr>
        <w:t xml:space="preserve"> </w:t>
      </w:r>
      <w:proofErr w:type="spellStart"/>
      <w:r w:rsidRPr="00400A6A">
        <w:rPr>
          <w:rFonts w:cs="Calibri"/>
          <w:i/>
        </w:rPr>
        <w:t>Law</w:t>
      </w:r>
      <w:proofErr w:type="spellEnd"/>
      <w:r w:rsidRPr="00400A6A">
        <w:rPr>
          <w:rFonts w:cs="Calibri"/>
          <w:i/>
        </w:rPr>
        <w:t xml:space="preserve"> and Industrial </w:t>
      </w:r>
      <w:proofErr w:type="spellStart"/>
      <w:r w:rsidRPr="00400A6A">
        <w:rPr>
          <w:rFonts w:cs="Calibri"/>
          <w:i/>
        </w:rPr>
        <w:t>Relations</w:t>
      </w:r>
      <w:proofErr w:type="spellEnd"/>
      <w:r w:rsidRPr="00FF6FB0">
        <w:rPr>
          <w:rFonts w:cs="Calibri"/>
        </w:rPr>
        <w:t xml:space="preserve">, núm. 18, vol. 3, 20002, pág. 411-412.  </w:t>
      </w:r>
    </w:p>
  </w:footnote>
  <w:footnote w:id="49">
    <w:p w:rsidR="00B67B13" w:rsidRPr="00D7028E" w:rsidRDefault="00B67B13" w:rsidP="00A16672">
      <w:pPr>
        <w:pStyle w:val="Textonotapie"/>
        <w:spacing w:after="0" w:line="240" w:lineRule="auto"/>
        <w:jc w:val="both"/>
        <w:rPr>
          <w:rFonts w:cs="Calibri"/>
        </w:rPr>
      </w:pPr>
      <w:r w:rsidRPr="00FF6FB0">
        <w:rPr>
          <w:rStyle w:val="Refdenotaalpie"/>
          <w:rFonts w:cs="Calibri"/>
        </w:rPr>
        <w:footnoteRef/>
      </w:r>
      <w:proofErr w:type="spellStart"/>
      <w:proofErr w:type="gramStart"/>
      <w:r w:rsidRPr="00400A6A">
        <w:rPr>
          <w:rFonts w:cs="Calibri"/>
          <w:i/>
          <w:lang w:val="en-US"/>
        </w:rPr>
        <w:t>Vid</w:t>
      </w:r>
      <w:proofErr w:type="spellEnd"/>
      <w:r w:rsidRPr="00400A6A">
        <w:rPr>
          <w:rFonts w:cs="Calibri"/>
          <w:lang w:val="en-US"/>
        </w:rPr>
        <w:t xml:space="preserve">. VENTEGODT, LISBERG, M., </w:t>
      </w:r>
      <w:r w:rsidRPr="00C976C4">
        <w:rPr>
          <w:rFonts w:cs="Calibri"/>
          <w:i/>
          <w:lang w:val="en-US"/>
        </w:rPr>
        <w:t>Disability and Employment.</w:t>
      </w:r>
      <w:proofErr w:type="gramEnd"/>
      <w:r w:rsidRPr="00C976C4">
        <w:rPr>
          <w:rFonts w:cs="Calibri"/>
          <w:i/>
          <w:lang w:val="en-US"/>
        </w:rPr>
        <w:t xml:space="preserve"> </w:t>
      </w:r>
      <w:proofErr w:type="gramStart"/>
      <w:r w:rsidRPr="00C976C4">
        <w:rPr>
          <w:rFonts w:cs="Calibri"/>
          <w:i/>
          <w:lang w:val="en-US"/>
        </w:rPr>
        <w:t>A Contemporary Disability Human Rights Approach Applied to Danish, Swedish and EU law and Policy</w:t>
      </w:r>
      <w:r w:rsidRPr="00C976C4">
        <w:rPr>
          <w:rFonts w:cs="Calibri"/>
          <w:lang w:val="en-US"/>
        </w:rPr>
        <w:t xml:space="preserve">, </w:t>
      </w:r>
      <w:proofErr w:type="spellStart"/>
      <w:r w:rsidRPr="00C976C4">
        <w:rPr>
          <w:rFonts w:cs="Calibri"/>
          <w:lang w:val="en-US"/>
        </w:rPr>
        <w:t>Intersentia</w:t>
      </w:r>
      <w:proofErr w:type="spellEnd"/>
      <w:r w:rsidRPr="00400A6A">
        <w:rPr>
          <w:rFonts w:cs="Calibri"/>
          <w:lang w:val="en-US"/>
        </w:rPr>
        <w:t xml:space="preserve">, 2011, </w:t>
      </w:r>
      <w:proofErr w:type="spellStart"/>
      <w:r w:rsidRPr="00400A6A">
        <w:rPr>
          <w:rFonts w:cs="Calibri"/>
          <w:lang w:val="en-US"/>
        </w:rPr>
        <w:t>Reino</w:t>
      </w:r>
      <w:proofErr w:type="spellEnd"/>
      <w:r w:rsidR="00400A6A" w:rsidRPr="00400A6A">
        <w:rPr>
          <w:rFonts w:cs="Calibri"/>
          <w:lang w:val="en-US"/>
        </w:rPr>
        <w:t xml:space="preserve"> </w:t>
      </w:r>
      <w:proofErr w:type="spellStart"/>
      <w:r w:rsidRPr="00400A6A">
        <w:rPr>
          <w:rFonts w:cs="Calibri"/>
          <w:lang w:val="en-US"/>
        </w:rPr>
        <w:t>Unido</w:t>
      </w:r>
      <w:proofErr w:type="spellEnd"/>
      <w:r w:rsidRPr="00400A6A">
        <w:rPr>
          <w:rFonts w:cs="Calibri"/>
          <w:lang w:val="en-US"/>
        </w:rPr>
        <w:t xml:space="preserve">, </w:t>
      </w:r>
      <w:proofErr w:type="spellStart"/>
      <w:r w:rsidRPr="00400A6A">
        <w:rPr>
          <w:rFonts w:cs="Calibri"/>
          <w:lang w:val="en-US"/>
        </w:rPr>
        <w:t>págs</w:t>
      </w:r>
      <w:proofErr w:type="spellEnd"/>
      <w:r w:rsidRPr="00400A6A">
        <w:rPr>
          <w:rFonts w:cs="Calibri"/>
          <w:lang w:val="en-US"/>
        </w:rPr>
        <w:t>.</w:t>
      </w:r>
      <w:proofErr w:type="gramEnd"/>
      <w:r w:rsidRPr="00400A6A">
        <w:rPr>
          <w:rFonts w:cs="Calibri"/>
          <w:lang w:val="en-US"/>
        </w:rPr>
        <w:t xml:space="preserve"> </w:t>
      </w:r>
      <w:r w:rsidRPr="00D7028E">
        <w:rPr>
          <w:rFonts w:cs="Calibri"/>
        </w:rPr>
        <w:t xml:space="preserve">112-115. </w:t>
      </w:r>
    </w:p>
  </w:footnote>
  <w:footnote w:id="50">
    <w:p w:rsidR="00B67B13" w:rsidRPr="004131C1" w:rsidRDefault="00B67B13" w:rsidP="00A16672">
      <w:pPr>
        <w:pStyle w:val="Textonotapie"/>
        <w:spacing w:after="0" w:line="240" w:lineRule="auto"/>
        <w:jc w:val="both"/>
        <w:rPr>
          <w:rFonts w:cs="Calibri"/>
        </w:rPr>
      </w:pPr>
      <w:r w:rsidRPr="00FF6FB0">
        <w:rPr>
          <w:rStyle w:val="Refdenotaalpie"/>
          <w:rFonts w:cs="Calibri"/>
        </w:rPr>
        <w:footnoteRef/>
      </w:r>
      <w:r w:rsidRPr="004131C1">
        <w:rPr>
          <w:rFonts w:cs="Calibri"/>
          <w:i/>
        </w:rPr>
        <w:t>Vid.</w:t>
      </w:r>
      <w:r w:rsidRPr="004131C1">
        <w:rPr>
          <w:rFonts w:cs="Calibri"/>
        </w:rPr>
        <w:t xml:space="preserve"> DAY, S. y BRODSKY, G, “</w:t>
      </w:r>
      <w:proofErr w:type="spellStart"/>
      <w:r w:rsidRPr="004131C1">
        <w:rPr>
          <w:rFonts w:cs="Calibri"/>
        </w:rPr>
        <w:t>The</w:t>
      </w:r>
      <w:proofErr w:type="spellEnd"/>
      <w:r w:rsidR="00374D9B" w:rsidRPr="004131C1">
        <w:rPr>
          <w:rFonts w:cs="Calibri"/>
        </w:rPr>
        <w:t xml:space="preserve"> </w:t>
      </w:r>
      <w:proofErr w:type="spellStart"/>
      <w:r w:rsidRPr="004131C1">
        <w:rPr>
          <w:rFonts w:cs="Calibri"/>
        </w:rPr>
        <w:t>Duty</w:t>
      </w:r>
      <w:proofErr w:type="spellEnd"/>
      <w:r w:rsidRPr="004131C1">
        <w:rPr>
          <w:rFonts w:cs="Calibri"/>
        </w:rPr>
        <w:t xml:space="preserve"> </w:t>
      </w:r>
      <w:proofErr w:type="spellStart"/>
      <w:r w:rsidRPr="004131C1">
        <w:rPr>
          <w:rFonts w:cs="Calibri"/>
        </w:rPr>
        <w:t>to</w:t>
      </w:r>
      <w:proofErr w:type="spellEnd"/>
      <w:r w:rsidR="00374D9B" w:rsidRPr="004131C1">
        <w:rPr>
          <w:rFonts w:cs="Calibri"/>
        </w:rPr>
        <w:t xml:space="preserve"> </w:t>
      </w:r>
      <w:proofErr w:type="spellStart"/>
      <w:r w:rsidRPr="004131C1">
        <w:rPr>
          <w:rFonts w:cs="Calibri"/>
        </w:rPr>
        <w:t>Accommodate</w:t>
      </w:r>
      <w:proofErr w:type="spellEnd"/>
      <w:r w:rsidRPr="004131C1">
        <w:rPr>
          <w:rFonts w:cs="Calibri"/>
        </w:rPr>
        <w:t xml:space="preserve">: </w:t>
      </w:r>
      <w:proofErr w:type="spellStart"/>
      <w:r w:rsidRPr="004131C1">
        <w:rPr>
          <w:rFonts w:cs="Calibri"/>
        </w:rPr>
        <w:t>Who</w:t>
      </w:r>
      <w:proofErr w:type="spellEnd"/>
      <w:r w:rsidR="00374D9B" w:rsidRPr="004131C1">
        <w:rPr>
          <w:rFonts w:cs="Calibri"/>
        </w:rPr>
        <w:t xml:space="preserve"> </w:t>
      </w:r>
      <w:proofErr w:type="spellStart"/>
      <w:r w:rsidRPr="004131C1">
        <w:rPr>
          <w:rFonts w:cs="Calibri"/>
        </w:rPr>
        <w:t>Will</w:t>
      </w:r>
      <w:proofErr w:type="spellEnd"/>
      <w:r w:rsidR="00374D9B" w:rsidRPr="004131C1">
        <w:rPr>
          <w:rFonts w:cs="Calibri"/>
        </w:rPr>
        <w:t xml:space="preserve"> </w:t>
      </w:r>
      <w:proofErr w:type="spellStart"/>
      <w:r w:rsidRPr="004131C1">
        <w:rPr>
          <w:rFonts w:cs="Calibri"/>
        </w:rPr>
        <w:t>Benefit</w:t>
      </w:r>
      <w:proofErr w:type="spellEnd"/>
      <w:r w:rsidRPr="004131C1">
        <w:rPr>
          <w:rFonts w:cs="Calibri"/>
        </w:rPr>
        <w:t>?”,</w:t>
      </w:r>
      <w:r w:rsidR="004131C1" w:rsidRPr="004131C1">
        <w:rPr>
          <w:rFonts w:cs="Calibri"/>
        </w:rPr>
        <w:t xml:space="preserve"> </w:t>
      </w:r>
      <w:r w:rsidRPr="004131C1">
        <w:rPr>
          <w:rFonts w:cs="Calibri"/>
          <w:i/>
        </w:rPr>
        <w:t xml:space="preserve">Canadian Bar </w:t>
      </w:r>
      <w:proofErr w:type="spellStart"/>
      <w:r w:rsidRPr="004131C1">
        <w:rPr>
          <w:rFonts w:cs="Calibri"/>
          <w:i/>
        </w:rPr>
        <w:t>Review</w:t>
      </w:r>
      <w:proofErr w:type="spellEnd"/>
      <w:r w:rsidRPr="004131C1">
        <w:rPr>
          <w:rFonts w:cs="Calibri"/>
        </w:rPr>
        <w:t>, núm. 75,</w:t>
      </w:r>
      <w:r w:rsidR="004131C1" w:rsidRPr="004131C1">
        <w:rPr>
          <w:rFonts w:cs="Calibri"/>
        </w:rPr>
        <w:t xml:space="preserve"> 1996, pág. 435, que critican que los ajustes razonables están</w:t>
      </w:r>
      <w:r w:rsidR="004131C1">
        <w:rPr>
          <w:rFonts w:cs="Calibri"/>
        </w:rPr>
        <w:t xml:space="preserve"> diseñados </w:t>
      </w:r>
      <w:r w:rsidR="004131C1" w:rsidRPr="004131C1">
        <w:rPr>
          <w:rFonts w:cs="Calibri"/>
        </w:rPr>
        <w:t>como concesiones a grupos minoritari</w:t>
      </w:r>
      <w:r w:rsidR="004131C1">
        <w:rPr>
          <w:rFonts w:cs="Calibri"/>
        </w:rPr>
        <w:t>o</w:t>
      </w:r>
      <w:r w:rsidR="004131C1" w:rsidRPr="004131C1">
        <w:rPr>
          <w:rFonts w:cs="Calibri"/>
        </w:rPr>
        <w:t xml:space="preserve">s. </w:t>
      </w:r>
      <w:r w:rsidR="004131C1">
        <w:rPr>
          <w:rFonts w:cs="Calibri"/>
        </w:rPr>
        <w:t xml:space="preserve">De esta manera, sostienen que la actual concepción de esta institución está limitada por la capacidad y voluntad de llevar a cabo los ajustes por parte del grupo social mayoritario, esto es, personas sin discapacidad. </w:t>
      </w:r>
      <w:r w:rsidR="004131C1" w:rsidRPr="004131C1">
        <w:rPr>
          <w:rFonts w:cs="Calibri"/>
        </w:rPr>
        <w:t xml:space="preserve"> </w:t>
      </w:r>
    </w:p>
  </w:footnote>
  <w:footnote w:id="51">
    <w:p w:rsidR="00B67B13" w:rsidRPr="00374D9B"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r w:rsidRPr="00374D9B">
        <w:rPr>
          <w:rFonts w:cs="Calibri"/>
          <w:i/>
          <w:lang w:val="en-US"/>
        </w:rPr>
        <w:t>Vid</w:t>
      </w:r>
      <w:proofErr w:type="spellEnd"/>
      <w:r w:rsidRPr="00374D9B">
        <w:rPr>
          <w:rFonts w:cs="Calibri"/>
          <w:i/>
          <w:lang w:val="en-US"/>
        </w:rPr>
        <w:t>.</w:t>
      </w:r>
      <w:r w:rsidRPr="00374D9B">
        <w:rPr>
          <w:rFonts w:cs="Calibri"/>
          <w:lang w:val="en-US"/>
        </w:rPr>
        <w:t xml:space="preserve"> WADDINGTON, L. y HENDRIKS, A., “</w:t>
      </w:r>
      <w:r w:rsidRPr="00C976C4">
        <w:rPr>
          <w:rFonts w:cs="Calibri"/>
          <w:lang w:val="en-US"/>
        </w:rPr>
        <w:t>The Expanding Concept</w:t>
      </w:r>
      <w:r>
        <w:rPr>
          <w:rFonts w:cs="Calibri"/>
          <w:lang w:val="en-US"/>
        </w:rPr>
        <w:t>…</w:t>
      </w:r>
      <w:proofErr w:type="gramStart"/>
      <w:r>
        <w:rPr>
          <w:rFonts w:cs="Calibri"/>
          <w:lang w:val="en-US"/>
        </w:rPr>
        <w:t>”,</w:t>
      </w:r>
      <w:proofErr w:type="gramEnd"/>
      <w:r>
        <w:rPr>
          <w:rFonts w:cs="Calibri"/>
          <w:lang w:val="en-US"/>
        </w:rPr>
        <w:t xml:space="preserve"> </w:t>
      </w:r>
      <w:r>
        <w:rPr>
          <w:rFonts w:cs="Calibri"/>
          <w:i/>
          <w:lang w:val="en-US"/>
        </w:rPr>
        <w:t xml:space="preserve">op. cit., </w:t>
      </w:r>
      <w:proofErr w:type="spellStart"/>
      <w:r w:rsidRPr="00374D9B">
        <w:rPr>
          <w:rFonts w:cs="Calibri"/>
          <w:lang w:val="en-US"/>
        </w:rPr>
        <w:t>pág</w:t>
      </w:r>
      <w:proofErr w:type="spellEnd"/>
      <w:r w:rsidRPr="00374D9B">
        <w:rPr>
          <w:rFonts w:cs="Calibri"/>
          <w:lang w:val="en-US"/>
        </w:rPr>
        <w:t xml:space="preserve">. 415.  </w:t>
      </w:r>
    </w:p>
  </w:footnote>
  <w:footnote w:id="52">
    <w:p w:rsidR="00B67B13" w:rsidRPr="004971B8" w:rsidRDefault="00B67B13" w:rsidP="00A16672">
      <w:pPr>
        <w:pStyle w:val="Textonotapie"/>
        <w:spacing w:after="0" w:line="240" w:lineRule="auto"/>
        <w:jc w:val="both"/>
        <w:rPr>
          <w:rFonts w:cs="Calibri"/>
        </w:rPr>
      </w:pPr>
      <w:r w:rsidRPr="00FF6FB0">
        <w:rPr>
          <w:rStyle w:val="Refdenotaalpie"/>
          <w:rFonts w:cs="Calibri"/>
        </w:rPr>
        <w:footnoteRef/>
      </w:r>
      <w:r w:rsidRPr="004971B8">
        <w:rPr>
          <w:rFonts w:cs="Calibri"/>
        </w:rPr>
        <w:t>En</w:t>
      </w:r>
      <w:r w:rsidR="00400A6A" w:rsidRPr="004971B8">
        <w:rPr>
          <w:rFonts w:cs="Calibri"/>
        </w:rPr>
        <w:t xml:space="preserve"> </w:t>
      </w:r>
      <w:r w:rsidRPr="004971B8">
        <w:rPr>
          <w:rFonts w:cs="Calibri"/>
        </w:rPr>
        <w:t>esta</w:t>
      </w:r>
      <w:r w:rsidR="00400A6A" w:rsidRPr="004971B8">
        <w:rPr>
          <w:rFonts w:cs="Calibri"/>
        </w:rPr>
        <w:t xml:space="preserve"> </w:t>
      </w:r>
      <w:r w:rsidRPr="004971B8">
        <w:rPr>
          <w:rFonts w:cs="Calibri"/>
        </w:rPr>
        <w:t>misma</w:t>
      </w:r>
      <w:r w:rsidR="00400A6A" w:rsidRPr="004971B8">
        <w:rPr>
          <w:rFonts w:cs="Calibri"/>
        </w:rPr>
        <w:t xml:space="preserve"> </w:t>
      </w:r>
      <w:r w:rsidRPr="004971B8">
        <w:rPr>
          <w:rFonts w:cs="Calibri"/>
        </w:rPr>
        <w:t>dirección, DAY, S. y BRODSKY, G, “</w:t>
      </w:r>
      <w:proofErr w:type="spellStart"/>
      <w:r w:rsidRPr="004971B8">
        <w:rPr>
          <w:rFonts w:cs="Calibri"/>
        </w:rPr>
        <w:t>The</w:t>
      </w:r>
      <w:proofErr w:type="spellEnd"/>
      <w:r w:rsidRPr="004971B8">
        <w:rPr>
          <w:rFonts w:cs="Calibri"/>
        </w:rPr>
        <w:t xml:space="preserve"> </w:t>
      </w:r>
      <w:proofErr w:type="spellStart"/>
      <w:r w:rsidRPr="004971B8">
        <w:rPr>
          <w:rFonts w:cs="Calibri"/>
        </w:rPr>
        <w:t>Duty</w:t>
      </w:r>
      <w:proofErr w:type="spellEnd"/>
      <w:r w:rsidRPr="004971B8">
        <w:rPr>
          <w:rFonts w:cs="Calibri"/>
        </w:rPr>
        <w:t xml:space="preserve"> </w:t>
      </w:r>
      <w:proofErr w:type="spellStart"/>
      <w:r w:rsidRPr="004971B8">
        <w:rPr>
          <w:rFonts w:cs="Calibri"/>
        </w:rPr>
        <w:t>to</w:t>
      </w:r>
      <w:proofErr w:type="spellEnd"/>
      <w:r w:rsidRPr="004971B8">
        <w:rPr>
          <w:rFonts w:cs="Calibri"/>
        </w:rPr>
        <w:t xml:space="preserve"> </w:t>
      </w:r>
      <w:proofErr w:type="spellStart"/>
      <w:r w:rsidRPr="004971B8">
        <w:rPr>
          <w:rFonts w:cs="Calibri"/>
        </w:rPr>
        <w:t>Accommodate</w:t>
      </w:r>
      <w:proofErr w:type="spellEnd"/>
      <w:r w:rsidRPr="004971B8">
        <w:rPr>
          <w:rFonts w:cs="Calibri"/>
        </w:rPr>
        <w:t xml:space="preserve">…”, </w:t>
      </w:r>
      <w:proofErr w:type="spellStart"/>
      <w:r w:rsidRPr="004971B8">
        <w:rPr>
          <w:rFonts w:cs="Calibri"/>
          <w:i/>
        </w:rPr>
        <w:t>op</w:t>
      </w:r>
      <w:proofErr w:type="spellEnd"/>
      <w:r w:rsidRPr="004971B8">
        <w:rPr>
          <w:rFonts w:cs="Calibri"/>
          <w:i/>
        </w:rPr>
        <w:t>. cit.</w:t>
      </w:r>
      <w:r w:rsidRPr="004971B8">
        <w:rPr>
          <w:rFonts w:cs="Calibri"/>
        </w:rPr>
        <w:t>, pág. 462, destacan que</w:t>
      </w:r>
      <w:r w:rsidR="004971B8" w:rsidRPr="004971B8">
        <w:rPr>
          <w:rFonts w:cs="Calibri"/>
        </w:rPr>
        <w:t xml:space="preserve"> el aj</w:t>
      </w:r>
      <w:r w:rsidR="004971B8">
        <w:rPr>
          <w:rFonts w:cs="Calibri"/>
        </w:rPr>
        <w:t>uste razonable no cambia los procedimientos o servicios, sino que simplemente exige modificaciones para aquellas personas que no se ajustan al canon de normalidad. En este sentido, defienden que la asunción de la igualdad exige abandonar la idea de ajuste como concesión individual y minoritaria.</w:t>
      </w:r>
    </w:p>
  </w:footnote>
  <w:footnote w:id="53">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El cambio principal que debería instrumentar el legislador europeo debería ser exigir la accesibilidad de todos los puestos de trabajo, omitiendo referencias a la adaptación o modificación. </w:t>
      </w:r>
    </w:p>
  </w:footnote>
  <w:footnote w:id="5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Los pronunciamientos del Tribunal de Justicia de la Unión Europea que han abordado la discapacidad han sido la S</w:t>
      </w:r>
      <w:r w:rsidR="00F92B85">
        <w:rPr>
          <w:rFonts w:cs="Calibri"/>
        </w:rPr>
        <w:t>entencia</w:t>
      </w:r>
      <w:r w:rsidRPr="00FF6FB0">
        <w:rPr>
          <w:rFonts w:cs="Calibri"/>
        </w:rPr>
        <w:t xml:space="preserve"> Chacón Navas, C-13/05, ECLI:EU:C:2006:456; Sentencia Coleman, C-303/06, ECLI:EU:C:2008:415; Sentencia </w:t>
      </w:r>
      <w:proofErr w:type="spellStart"/>
      <w:r w:rsidRPr="00FF6FB0">
        <w:rPr>
          <w:rFonts w:cs="Calibri"/>
        </w:rPr>
        <w:t>Odar</w:t>
      </w:r>
      <w:proofErr w:type="spellEnd"/>
      <w:r w:rsidRPr="00FF6FB0">
        <w:rPr>
          <w:rFonts w:cs="Calibri"/>
        </w:rPr>
        <w:t xml:space="preserve">, C-152/11,  </w:t>
      </w:r>
      <w:r w:rsidRPr="00FF6FB0">
        <w:rPr>
          <w:rStyle w:val="outputecliaff"/>
          <w:rFonts w:cs="Calibri"/>
        </w:rPr>
        <w:t xml:space="preserve">EU:C:2012:772; Sentencia Comisión/Italia, C-312/11, EU:C:2013:446; Sentencia HK </w:t>
      </w:r>
      <w:proofErr w:type="spellStart"/>
      <w:r w:rsidRPr="00FF6FB0">
        <w:rPr>
          <w:rStyle w:val="outputecliaff"/>
          <w:rFonts w:cs="Calibri"/>
        </w:rPr>
        <w:t>Danmark</w:t>
      </w:r>
      <w:proofErr w:type="spellEnd"/>
      <w:r w:rsidRPr="00FF6FB0">
        <w:rPr>
          <w:rStyle w:val="outputecliaff"/>
          <w:rFonts w:cs="Calibri"/>
        </w:rPr>
        <w:t xml:space="preserve">, C-335/11, EU:C:2013:222; Sentencia </w:t>
      </w:r>
      <w:proofErr w:type="spellStart"/>
      <w:r w:rsidRPr="00FF6FB0">
        <w:rPr>
          <w:rStyle w:val="outputecliaff"/>
          <w:rFonts w:cs="Calibri"/>
        </w:rPr>
        <w:t>Glatzel</w:t>
      </w:r>
      <w:proofErr w:type="spellEnd"/>
      <w:r w:rsidRPr="00FF6FB0">
        <w:rPr>
          <w:rStyle w:val="outputecliaff"/>
          <w:rFonts w:cs="Calibri"/>
        </w:rPr>
        <w:t xml:space="preserve">, C-356/12, EU:C:2014:350; Sentencia Z, C-363/12, EU:C:2014:159; Sentencia FOA, C-354/13, EU:C:2014:2463; y, finalmente, Sentencia </w:t>
      </w:r>
      <w:proofErr w:type="spellStart"/>
      <w:r w:rsidRPr="00FF6FB0">
        <w:rPr>
          <w:rStyle w:val="outputecliaff"/>
          <w:rFonts w:cs="Calibri"/>
        </w:rPr>
        <w:t>Daouidi</w:t>
      </w:r>
      <w:proofErr w:type="spellEnd"/>
      <w:r w:rsidRPr="00FF6FB0">
        <w:rPr>
          <w:rStyle w:val="outputecliaff"/>
          <w:rFonts w:cs="Calibri"/>
        </w:rPr>
        <w:t xml:space="preserve">, C-395/15, EU:C:2016:917. </w:t>
      </w:r>
    </w:p>
  </w:footnote>
  <w:footnote w:id="55">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La ratificación se llevó a cabo mediante la Decisión 2010/48/CE del Consejo, de 26 de noviembre de 2009 relativa a la celebración, por parte de la Comunidad Europea, de la Convención de las Naciones Unidas sobre los derechos de las personas con discapacidad.</w:t>
      </w:r>
    </w:p>
  </w:footnote>
  <w:footnote w:id="56">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Algún autor, como por ejemplo MOLINA NAVARRETE, C., “Discriminación por discapacidad y despido por absentismo: Una interpretación correctora a la luz del caso Ring”, </w:t>
      </w:r>
      <w:r w:rsidRPr="00FF6FB0">
        <w:rPr>
          <w:rFonts w:cs="Calibri"/>
          <w:i/>
        </w:rPr>
        <w:t>Temas laborales</w:t>
      </w:r>
      <w:r w:rsidRPr="00FF6FB0">
        <w:rPr>
          <w:rFonts w:cs="Calibri"/>
        </w:rPr>
        <w:t xml:space="preserve">, núm. 130, 2015,  pág. 140-144, sostiene que nos encontramos ante la evolución de la doctrina contenida en la Sentencia Chacón Navas, y no ante una rectificación de la misma. </w:t>
      </w:r>
    </w:p>
  </w:footnote>
  <w:footnote w:id="57">
    <w:p w:rsidR="00B67B13" w:rsidRPr="00FF6FB0" w:rsidRDefault="00B67B13" w:rsidP="003C1F59">
      <w:pPr>
        <w:pStyle w:val="Textonotapie"/>
        <w:spacing w:after="0" w:line="240" w:lineRule="auto"/>
        <w:jc w:val="both"/>
      </w:pPr>
      <w:r w:rsidRPr="00FF6FB0">
        <w:rPr>
          <w:rStyle w:val="Refdenotaalpie"/>
        </w:rPr>
        <w:footnoteRef/>
      </w:r>
      <w:r w:rsidRPr="00FF6FB0">
        <w:t xml:space="preserve">La sentencia HK </w:t>
      </w:r>
      <w:proofErr w:type="spellStart"/>
      <w:r w:rsidRPr="00FF6FB0">
        <w:t>Danmark</w:t>
      </w:r>
      <w:proofErr w:type="spellEnd"/>
      <w:r w:rsidRPr="00FF6FB0">
        <w:t xml:space="preserve"> modifica la doctrina contenida en la sentencia Chacón Navas, que se apartó del enfoque inclusivo defendido institucionalmente por el Parlamento, la Comisión y el Consejo desde la Comunicación de la Comisión sobre la igualdad de oportunidades de las personas con discapacidad, de 30 de julio de 1996, titulada “Una nueva estrategia comunitaria en materia de minusvalía” [COM(96) 406 final] y la </w:t>
      </w:r>
      <w:r w:rsidRPr="00FF6FB0">
        <w:rPr>
          <w:rStyle w:val="Textoennegrita"/>
          <w:b w:val="0"/>
        </w:rPr>
        <w:t>Comunicación de la Comisión al Consejo, al Parlamento europeo , al Comité Económico y Social Europeo y al Comité de las Regiones - Igualdad de oportunidades para las personas con discapacidad: un plan de acción europeo (COM/2003/0650 final)</w:t>
      </w:r>
      <w:r w:rsidRPr="00FF6FB0">
        <w:rPr>
          <w:b/>
        </w:rPr>
        <w:t xml:space="preserve">. </w:t>
      </w:r>
    </w:p>
  </w:footnote>
  <w:footnote w:id="58">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Véase Decisión del Consejo, de 26 de noviembre de 2009 relativa a la celebración, por parte de la Comunidad Europea, de la Convención de las Naciones Unidas sobre los derechos de las personas con discapacidad (Ref. 2010/48/CE).</w:t>
      </w:r>
    </w:p>
  </w:footnote>
  <w:footnote w:id="59">
    <w:p w:rsidR="00B67B13" w:rsidRPr="00FF6FB0" w:rsidRDefault="00B67B13" w:rsidP="00060A95">
      <w:pPr>
        <w:pStyle w:val="Textonotapie"/>
        <w:spacing w:after="0" w:line="240" w:lineRule="auto"/>
        <w:jc w:val="both"/>
        <w:rPr>
          <w:rFonts w:cs="Calibri"/>
        </w:rPr>
      </w:pPr>
      <w:r w:rsidRPr="00FF6FB0">
        <w:rPr>
          <w:rStyle w:val="Refdenotaalpie"/>
          <w:rFonts w:cs="Calibri"/>
        </w:rPr>
        <w:footnoteRef/>
      </w:r>
      <w:proofErr w:type="spellStart"/>
      <w:r w:rsidRPr="00400A6A">
        <w:rPr>
          <w:rFonts w:cs="Calibri"/>
          <w:i/>
          <w:lang w:val="en-US"/>
        </w:rPr>
        <w:t>Vid</w:t>
      </w:r>
      <w:proofErr w:type="spellEnd"/>
      <w:r w:rsidRPr="00400A6A">
        <w:rPr>
          <w:rFonts w:cs="Calibri"/>
          <w:lang w:val="en-US"/>
        </w:rPr>
        <w:t>. WADDINGTON, L., “</w:t>
      </w:r>
      <w:r w:rsidRPr="00C976C4">
        <w:rPr>
          <w:rFonts w:cs="Calibri"/>
          <w:lang w:val="en-US"/>
        </w:rPr>
        <w:t xml:space="preserve">The European Union and the United Nations Convention on the Rights of People with Disabilities: A Story of Exclusive and Shared Competences”, </w:t>
      </w:r>
      <w:r w:rsidRPr="00C976C4">
        <w:rPr>
          <w:rFonts w:cs="Calibri"/>
          <w:i/>
          <w:lang w:val="en-US"/>
        </w:rPr>
        <w:t>Maastricht Journal of European and Comparative Law</w:t>
      </w:r>
      <w:r w:rsidRPr="00400A6A">
        <w:rPr>
          <w:rFonts w:cs="Calibri"/>
          <w:lang w:val="en-US"/>
        </w:rPr>
        <w:t xml:space="preserve">, </w:t>
      </w:r>
      <w:proofErr w:type="spellStart"/>
      <w:r w:rsidRPr="00400A6A">
        <w:rPr>
          <w:rFonts w:cs="Calibri"/>
          <w:lang w:val="en-US"/>
        </w:rPr>
        <w:t>núm</w:t>
      </w:r>
      <w:proofErr w:type="spellEnd"/>
      <w:r w:rsidRPr="00400A6A">
        <w:rPr>
          <w:rFonts w:cs="Calibri"/>
          <w:lang w:val="en-US"/>
        </w:rPr>
        <w:t xml:space="preserve">. </w:t>
      </w:r>
      <w:proofErr w:type="gramStart"/>
      <w:r w:rsidRPr="00400A6A">
        <w:rPr>
          <w:rFonts w:cs="Calibri"/>
          <w:lang w:val="en-US"/>
        </w:rPr>
        <w:t xml:space="preserve">18, vol. 4, 2011, </w:t>
      </w:r>
      <w:proofErr w:type="spellStart"/>
      <w:r w:rsidRPr="00400A6A">
        <w:rPr>
          <w:rFonts w:cs="Calibri"/>
          <w:lang w:val="en-US"/>
        </w:rPr>
        <w:t>págs</w:t>
      </w:r>
      <w:proofErr w:type="spellEnd"/>
      <w:r w:rsidRPr="00400A6A">
        <w:rPr>
          <w:rFonts w:cs="Calibri"/>
          <w:lang w:val="en-US"/>
        </w:rPr>
        <w:t>.</w:t>
      </w:r>
      <w:proofErr w:type="gramEnd"/>
      <w:r w:rsidRPr="00400A6A">
        <w:rPr>
          <w:rFonts w:cs="Calibri"/>
          <w:lang w:val="en-US"/>
        </w:rPr>
        <w:t xml:space="preserve"> </w:t>
      </w:r>
      <w:r w:rsidRPr="00FF6FB0">
        <w:rPr>
          <w:rFonts w:cs="Calibri"/>
        </w:rPr>
        <w:t>431-453, que identificaba aquellas áreas de solapamiento de competencias exclusivas y compartidas de la Unión Europea sobre las que se pronuncia la Convención.  En el mismo</w:t>
      </w:r>
      <w:r w:rsidR="004971B8">
        <w:rPr>
          <w:rFonts w:cs="Calibri"/>
        </w:rPr>
        <w:t xml:space="preserve"> </w:t>
      </w:r>
      <w:r w:rsidRPr="00FF6FB0">
        <w:rPr>
          <w:rFonts w:cs="Calibri"/>
        </w:rPr>
        <w:t>sentido, véase DE BURCA, G., “</w:t>
      </w:r>
      <w:proofErr w:type="spellStart"/>
      <w:r w:rsidRPr="00556A05">
        <w:rPr>
          <w:rFonts w:cs="Calibri"/>
        </w:rPr>
        <w:t>The</w:t>
      </w:r>
      <w:proofErr w:type="spellEnd"/>
      <w:r w:rsidRPr="00556A05">
        <w:rPr>
          <w:rFonts w:cs="Calibri"/>
        </w:rPr>
        <w:t xml:space="preserve"> EU in </w:t>
      </w:r>
      <w:proofErr w:type="spellStart"/>
      <w:r w:rsidRPr="00556A05">
        <w:rPr>
          <w:rFonts w:cs="Calibri"/>
        </w:rPr>
        <w:t>the</w:t>
      </w:r>
      <w:proofErr w:type="spellEnd"/>
      <w:r w:rsidRPr="00556A05">
        <w:rPr>
          <w:rFonts w:cs="Calibri"/>
        </w:rPr>
        <w:t xml:space="preserve"> </w:t>
      </w:r>
      <w:proofErr w:type="spellStart"/>
      <w:r w:rsidRPr="00556A05">
        <w:rPr>
          <w:rFonts w:cs="Calibri"/>
        </w:rPr>
        <w:t>Negotiation</w:t>
      </w:r>
      <w:proofErr w:type="spellEnd"/>
      <w:r w:rsidRPr="00556A05">
        <w:rPr>
          <w:rFonts w:cs="Calibri"/>
        </w:rPr>
        <w:t xml:space="preserve">…”, </w:t>
      </w:r>
      <w:proofErr w:type="spellStart"/>
      <w:r w:rsidRPr="00556A05">
        <w:rPr>
          <w:rFonts w:cs="Calibri"/>
          <w:i/>
        </w:rPr>
        <w:t>op</w:t>
      </w:r>
      <w:proofErr w:type="spellEnd"/>
      <w:r w:rsidRPr="00556A05">
        <w:rPr>
          <w:rFonts w:cs="Calibri"/>
          <w:i/>
        </w:rPr>
        <w:t>. cit.</w:t>
      </w:r>
      <w:r w:rsidRPr="00FF6FB0">
        <w:rPr>
          <w:rFonts w:cs="Calibri"/>
          <w:iCs/>
        </w:rPr>
        <w:t xml:space="preserve">, págs. 1-23. </w:t>
      </w:r>
    </w:p>
  </w:footnote>
  <w:footnote w:id="60">
    <w:p w:rsidR="00B67B13" w:rsidRPr="00FF6FB0" w:rsidRDefault="00B67B13" w:rsidP="00460D2C">
      <w:pPr>
        <w:pStyle w:val="Textonotapie"/>
        <w:spacing w:after="0" w:line="240" w:lineRule="auto"/>
        <w:jc w:val="both"/>
        <w:rPr>
          <w:rFonts w:cs="Calibri"/>
        </w:rPr>
      </w:pPr>
      <w:r w:rsidRPr="00FF6FB0">
        <w:rPr>
          <w:rStyle w:val="Refdenotaalpie"/>
          <w:rFonts w:cs="Calibri"/>
        </w:rPr>
        <w:footnoteRef/>
      </w:r>
      <w:r w:rsidRPr="00FF6FB0">
        <w:rPr>
          <w:rFonts w:cs="Calibri"/>
        </w:rPr>
        <w:t xml:space="preserve">Véase el párrafo 32 de la Sentencia HK </w:t>
      </w:r>
      <w:proofErr w:type="spellStart"/>
      <w:r w:rsidRPr="00FF6FB0">
        <w:rPr>
          <w:rFonts w:cs="Calibri"/>
        </w:rPr>
        <w:t>Danmark</w:t>
      </w:r>
      <w:proofErr w:type="spellEnd"/>
      <w:r w:rsidRPr="00FF6FB0">
        <w:rPr>
          <w:rFonts w:cs="Calibri"/>
        </w:rPr>
        <w:t>, C-335/11, EU</w:t>
      </w:r>
      <w:proofErr w:type="gramStart"/>
      <w:r w:rsidRPr="00FF6FB0">
        <w:rPr>
          <w:rFonts w:cs="Calibri"/>
        </w:rPr>
        <w:t>:C:2013:222</w:t>
      </w:r>
      <w:proofErr w:type="gramEnd"/>
      <w:r w:rsidRPr="00FF6FB0">
        <w:rPr>
          <w:rFonts w:cs="Calibri"/>
        </w:rPr>
        <w:t xml:space="preserve">. </w:t>
      </w:r>
    </w:p>
  </w:footnote>
  <w:footnote w:id="61">
    <w:p w:rsidR="00B67B13" w:rsidRPr="00FF6FB0" w:rsidRDefault="00B67B13" w:rsidP="00460D2C">
      <w:pPr>
        <w:pStyle w:val="Textonotapie"/>
        <w:spacing w:after="0" w:line="240" w:lineRule="auto"/>
        <w:jc w:val="both"/>
      </w:pPr>
      <w:r w:rsidRPr="00FF6FB0">
        <w:rPr>
          <w:rStyle w:val="Refdenotaalpie"/>
        </w:rPr>
        <w:footnoteRef/>
      </w:r>
      <w:r w:rsidRPr="00FF6FB0">
        <w:t xml:space="preserve"> Véase, en especial, las sentencias Comisión/Alemania, C 61/94, EU</w:t>
      </w:r>
      <w:proofErr w:type="gramStart"/>
      <w:r w:rsidRPr="00FF6FB0">
        <w:t>:C:1996:313</w:t>
      </w:r>
      <w:proofErr w:type="gramEnd"/>
      <w:r w:rsidRPr="00FF6FB0">
        <w:t xml:space="preserve">, apartado 52; HK </w:t>
      </w:r>
      <w:proofErr w:type="spellStart"/>
      <w:r w:rsidRPr="00FF6FB0">
        <w:t>Danmark</w:t>
      </w:r>
      <w:proofErr w:type="spellEnd"/>
      <w:r w:rsidRPr="00FF6FB0">
        <w:t xml:space="preserve">, EU:C:2013:222, apartado 29, y Z, EU:C:2014:159, apartado 72. </w:t>
      </w:r>
    </w:p>
  </w:footnote>
  <w:footnote w:id="62">
    <w:p w:rsidR="00B67B13" w:rsidRPr="00400A6A" w:rsidRDefault="00B67B13" w:rsidP="00460D2C">
      <w:pPr>
        <w:pStyle w:val="Textonotapie"/>
        <w:spacing w:after="0" w:line="240" w:lineRule="auto"/>
        <w:jc w:val="both"/>
        <w:rPr>
          <w:lang w:val="en-US"/>
        </w:rPr>
      </w:pPr>
      <w:r w:rsidRPr="00FF6FB0">
        <w:rPr>
          <w:rStyle w:val="Refdenotaalpie"/>
        </w:rPr>
        <w:footnoteRef/>
      </w:r>
      <w:proofErr w:type="spellStart"/>
      <w:r w:rsidRPr="00400A6A">
        <w:rPr>
          <w:lang w:val="en-US"/>
        </w:rPr>
        <w:t>Así</w:t>
      </w:r>
      <w:proofErr w:type="spellEnd"/>
      <w:r w:rsidRPr="00400A6A">
        <w:rPr>
          <w:lang w:val="en-US"/>
        </w:rPr>
        <w:t xml:space="preserve"> lo </w:t>
      </w:r>
      <w:proofErr w:type="spellStart"/>
      <w:r w:rsidRPr="00400A6A">
        <w:rPr>
          <w:lang w:val="en-US"/>
        </w:rPr>
        <w:t>sostiene</w:t>
      </w:r>
      <w:proofErr w:type="spellEnd"/>
      <w:r w:rsidRPr="00400A6A">
        <w:rPr>
          <w:lang w:val="en-US"/>
        </w:rPr>
        <w:t xml:space="preserve"> WADDINGTON, L, “</w:t>
      </w:r>
      <w:r w:rsidRPr="007673DB">
        <w:rPr>
          <w:lang w:val="en-US"/>
        </w:rPr>
        <w:t xml:space="preserve">HK </w:t>
      </w:r>
      <w:proofErr w:type="spellStart"/>
      <w:r w:rsidRPr="007673DB">
        <w:rPr>
          <w:lang w:val="en-US"/>
        </w:rPr>
        <w:t>Danmark</w:t>
      </w:r>
      <w:proofErr w:type="spellEnd"/>
      <w:r w:rsidRPr="007673DB">
        <w:rPr>
          <w:lang w:val="en-US"/>
        </w:rPr>
        <w:t xml:space="preserve"> (Ring and </w:t>
      </w:r>
      <w:proofErr w:type="spellStart"/>
      <w:r w:rsidRPr="007673DB">
        <w:rPr>
          <w:lang w:val="en-US"/>
        </w:rPr>
        <w:t>SkouboeWerge</w:t>
      </w:r>
      <w:proofErr w:type="spellEnd"/>
      <w:r w:rsidRPr="007673DB">
        <w:rPr>
          <w:lang w:val="en-US"/>
        </w:rPr>
        <w:t xml:space="preserve">): Interpreting the EU Equality Law in Light of the UN Convention on the Rights of Persons with Disabilities“, </w:t>
      </w:r>
      <w:r w:rsidRPr="007673DB">
        <w:rPr>
          <w:i/>
          <w:lang w:val="en-US"/>
        </w:rPr>
        <w:t>European Anti-Discrimination Law Review</w:t>
      </w:r>
      <w:r w:rsidRPr="00400A6A">
        <w:rPr>
          <w:lang w:val="en-US"/>
        </w:rPr>
        <w:t xml:space="preserve">, </w:t>
      </w:r>
      <w:proofErr w:type="spellStart"/>
      <w:r w:rsidRPr="00400A6A">
        <w:rPr>
          <w:lang w:val="en-US"/>
        </w:rPr>
        <w:t>núm</w:t>
      </w:r>
      <w:proofErr w:type="spellEnd"/>
      <w:r w:rsidRPr="00400A6A">
        <w:rPr>
          <w:lang w:val="en-US"/>
        </w:rPr>
        <w:t xml:space="preserve">. </w:t>
      </w:r>
      <w:proofErr w:type="gramStart"/>
      <w:r w:rsidRPr="00400A6A">
        <w:rPr>
          <w:lang w:val="en-US"/>
        </w:rPr>
        <w:t xml:space="preserve">17, 2013, </w:t>
      </w:r>
      <w:proofErr w:type="spellStart"/>
      <w:r w:rsidRPr="00400A6A">
        <w:rPr>
          <w:lang w:val="en-US"/>
        </w:rPr>
        <w:t>pág</w:t>
      </w:r>
      <w:proofErr w:type="spellEnd"/>
      <w:r w:rsidRPr="00400A6A">
        <w:rPr>
          <w:lang w:val="en-US"/>
        </w:rPr>
        <w:t>.</w:t>
      </w:r>
      <w:proofErr w:type="gramEnd"/>
      <w:r w:rsidRPr="00400A6A">
        <w:rPr>
          <w:lang w:val="en-US"/>
        </w:rPr>
        <w:t xml:space="preserve"> 20. </w:t>
      </w:r>
    </w:p>
  </w:footnote>
  <w:footnote w:id="63">
    <w:p w:rsidR="00B67B13" w:rsidRPr="00FF6FB0" w:rsidRDefault="00B67B13" w:rsidP="00460D2C">
      <w:pPr>
        <w:pStyle w:val="Textonotapie"/>
        <w:spacing w:after="0" w:line="240" w:lineRule="auto"/>
        <w:jc w:val="both"/>
      </w:pPr>
      <w:r w:rsidRPr="00FF6FB0">
        <w:rPr>
          <w:rStyle w:val="Refdenotaalpie"/>
        </w:rPr>
        <w:footnoteRef/>
      </w:r>
      <w:r w:rsidRPr="00FF6FB0">
        <w:t xml:space="preserve">Las disposiciones que presentan mayores problemas son las de control y seguimiento de la implementación de la Convención (arts. </w:t>
      </w:r>
      <w:r w:rsidRPr="00400A6A">
        <w:rPr>
          <w:lang w:val="en-US"/>
        </w:rPr>
        <w:t xml:space="preserve">31 a 33).  A mayor </w:t>
      </w:r>
      <w:proofErr w:type="spellStart"/>
      <w:r w:rsidRPr="00400A6A">
        <w:rPr>
          <w:lang w:val="en-US"/>
        </w:rPr>
        <w:t>abundamiento</w:t>
      </w:r>
      <w:proofErr w:type="spellEnd"/>
      <w:r w:rsidRPr="00400A6A">
        <w:rPr>
          <w:lang w:val="en-US"/>
        </w:rPr>
        <w:t xml:space="preserve">, </w:t>
      </w:r>
      <w:proofErr w:type="spellStart"/>
      <w:r w:rsidRPr="00400A6A">
        <w:rPr>
          <w:lang w:val="en-US"/>
        </w:rPr>
        <w:t>véase</w:t>
      </w:r>
      <w:proofErr w:type="spellEnd"/>
      <w:r w:rsidRPr="00400A6A">
        <w:rPr>
          <w:lang w:val="en-US"/>
        </w:rPr>
        <w:t xml:space="preserve"> WADDINGTON, L., “</w:t>
      </w:r>
      <w:r w:rsidRPr="007673DB">
        <w:rPr>
          <w:lang w:val="en-US"/>
        </w:rPr>
        <w:t>The European Union</w:t>
      </w:r>
      <w:r>
        <w:rPr>
          <w:lang w:val="en-US"/>
        </w:rPr>
        <w:t>...</w:t>
      </w:r>
      <w:proofErr w:type="gramStart"/>
      <w:r>
        <w:rPr>
          <w:lang w:val="en-US"/>
        </w:rPr>
        <w:t>”,</w:t>
      </w:r>
      <w:proofErr w:type="gramEnd"/>
      <w:r>
        <w:rPr>
          <w:lang w:val="en-US"/>
        </w:rPr>
        <w:t xml:space="preserve"> </w:t>
      </w:r>
      <w:r>
        <w:rPr>
          <w:i/>
          <w:lang w:val="en-US"/>
        </w:rPr>
        <w:t xml:space="preserve">op. cit.¸ </w:t>
      </w:r>
      <w:proofErr w:type="spellStart"/>
      <w:r w:rsidRPr="00400A6A">
        <w:rPr>
          <w:lang w:val="en-US"/>
        </w:rPr>
        <w:t>págs</w:t>
      </w:r>
      <w:proofErr w:type="spellEnd"/>
      <w:r w:rsidRPr="00400A6A">
        <w:rPr>
          <w:lang w:val="en-US"/>
        </w:rPr>
        <w:t xml:space="preserve">. </w:t>
      </w:r>
      <w:r w:rsidRPr="00FF6FB0">
        <w:t>431-453, que sostiene que la responsabilidad recae, mayoritariamente, sobre los Estados Miembros, pues no existe ninguna disposición que obligue a la Unión Europea a actuar sobre cuestiones cuya competencia sea compartida, aún cuando sería deseable que se efectuase por la UE en aras de armonizar el marco jurídico de lucha contra la discapacidad.</w:t>
      </w:r>
    </w:p>
  </w:footnote>
  <w:footnote w:id="6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Párrafo 38 de la Sentencia HK </w:t>
      </w:r>
      <w:proofErr w:type="spellStart"/>
      <w:r w:rsidRPr="00FF6FB0">
        <w:rPr>
          <w:rFonts w:cs="Calibri"/>
        </w:rPr>
        <w:t>Danmark</w:t>
      </w:r>
      <w:proofErr w:type="spellEnd"/>
      <w:r w:rsidRPr="00FF6FB0">
        <w:rPr>
          <w:rFonts w:cs="Calibri"/>
        </w:rPr>
        <w:t>, C-335/11, EU</w:t>
      </w:r>
      <w:proofErr w:type="gramStart"/>
      <w:r w:rsidRPr="00FF6FB0">
        <w:rPr>
          <w:rFonts w:cs="Calibri"/>
        </w:rPr>
        <w:t>:C:2013:222</w:t>
      </w:r>
      <w:proofErr w:type="gramEnd"/>
      <w:r w:rsidRPr="00FF6FB0">
        <w:rPr>
          <w:rFonts w:cs="Calibri"/>
        </w:rPr>
        <w:t xml:space="preserve">. </w:t>
      </w:r>
    </w:p>
  </w:footnote>
  <w:footnote w:id="65">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En este sentido, véase MOLINA NAVARRETE, C., “Discriminación por discapacidad</w:t>
      </w:r>
      <w:r>
        <w:rPr>
          <w:rFonts w:cs="Calibri"/>
        </w:rPr>
        <w:t xml:space="preserve">…”, </w:t>
      </w:r>
      <w:proofErr w:type="spellStart"/>
      <w:r>
        <w:rPr>
          <w:rFonts w:cs="Calibri"/>
          <w:i/>
        </w:rPr>
        <w:t>op</w:t>
      </w:r>
      <w:proofErr w:type="spellEnd"/>
      <w:r>
        <w:rPr>
          <w:rFonts w:cs="Calibri"/>
          <w:i/>
        </w:rPr>
        <w:t>. cit.</w:t>
      </w:r>
      <w:r>
        <w:rPr>
          <w:rFonts w:cs="Calibri"/>
        </w:rPr>
        <w:t xml:space="preserve">, </w:t>
      </w:r>
      <w:r w:rsidRPr="00FF6FB0">
        <w:rPr>
          <w:rFonts w:cs="Calibri"/>
        </w:rPr>
        <w:t xml:space="preserve">pág. 143, que señala que la introducción de dicha expresión supone la creación </w:t>
      </w:r>
      <w:proofErr w:type="gramStart"/>
      <w:r w:rsidRPr="00FF6FB0">
        <w:rPr>
          <w:rFonts w:cs="Calibri"/>
        </w:rPr>
        <w:t>de ”</w:t>
      </w:r>
      <w:proofErr w:type="gramEnd"/>
      <w:r w:rsidRPr="00FF6FB0">
        <w:rPr>
          <w:rFonts w:cs="Calibri"/>
        </w:rPr>
        <w:t>[…]</w:t>
      </w:r>
      <w:r w:rsidRPr="00FF6FB0">
        <w:rPr>
          <w:rFonts w:cs="Calibri"/>
          <w:i/>
        </w:rPr>
        <w:t xml:space="preserve"> las condiciones precisas en las que la enfermedad puede ser causa de discapacidad, al generarle un riesgo adicional de padecer limitaciones profesionales</w:t>
      </w:r>
      <w:r w:rsidRPr="00FF6FB0">
        <w:rPr>
          <w:rFonts w:cs="Calibri"/>
        </w:rPr>
        <w:t xml:space="preserve">”. </w:t>
      </w:r>
    </w:p>
  </w:footnote>
  <w:footnote w:id="66">
    <w:p w:rsidR="00B67B13" w:rsidRPr="00400A6A" w:rsidRDefault="00B67B13" w:rsidP="00A16672">
      <w:pPr>
        <w:pStyle w:val="Textonotapie"/>
        <w:spacing w:after="0" w:line="240" w:lineRule="auto"/>
        <w:jc w:val="both"/>
        <w:rPr>
          <w:rFonts w:cs="Calibri"/>
          <w:lang w:val="en-US"/>
        </w:rPr>
      </w:pPr>
      <w:r w:rsidRPr="00FF6FB0">
        <w:rPr>
          <w:rStyle w:val="Refdenotaalpie"/>
          <w:rFonts w:cs="Calibri"/>
        </w:rPr>
        <w:footnoteRef/>
      </w:r>
      <w:r w:rsidRPr="00400A6A">
        <w:rPr>
          <w:rFonts w:cs="Calibri"/>
          <w:lang w:val="en-US"/>
        </w:rPr>
        <w:t xml:space="preserve">En </w:t>
      </w:r>
      <w:proofErr w:type="spellStart"/>
      <w:proofErr w:type="gramStart"/>
      <w:r w:rsidRPr="00400A6A">
        <w:rPr>
          <w:rFonts w:cs="Calibri"/>
          <w:lang w:val="en-US"/>
        </w:rPr>
        <w:t>este</w:t>
      </w:r>
      <w:proofErr w:type="spellEnd"/>
      <w:proofErr w:type="gramEnd"/>
      <w:r w:rsidRPr="00400A6A">
        <w:rPr>
          <w:rFonts w:cs="Calibri"/>
          <w:lang w:val="en-US"/>
        </w:rPr>
        <w:t xml:space="preserve"> </w:t>
      </w:r>
      <w:proofErr w:type="spellStart"/>
      <w:r w:rsidRPr="00400A6A">
        <w:rPr>
          <w:rFonts w:cs="Calibri"/>
          <w:lang w:val="en-US"/>
        </w:rPr>
        <w:t>sentido</w:t>
      </w:r>
      <w:proofErr w:type="spellEnd"/>
      <w:r w:rsidRPr="00400A6A">
        <w:rPr>
          <w:rFonts w:cs="Calibri"/>
          <w:lang w:val="en-US"/>
        </w:rPr>
        <w:t xml:space="preserve">, </w:t>
      </w:r>
      <w:proofErr w:type="spellStart"/>
      <w:r w:rsidRPr="00400A6A">
        <w:rPr>
          <w:rFonts w:cs="Calibri"/>
          <w:lang w:val="en-US"/>
        </w:rPr>
        <w:t>véase</w:t>
      </w:r>
      <w:proofErr w:type="spellEnd"/>
      <w:r w:rsidRPr="00400A6A">
        <w:rPr>
          <w:rFonts w:cs="Calibri"/>
          <w:lang w:val="en-US"/>
        </w:rPr>
        <w:t xml:space="preserve"> BETSCH, N., “</w:t>
      </w:r>
      <w:r w:rsidRPr="007673DB">
        <w:rPr>
          <w:rFonts w:cs="Calibri"/>
          <w:lang w:val="en-US"/>
        </w:rPr>
        <w:t xml:space="preserve">The Ring and </w:t>
      </w:r>
      <w:proofErr w:type="spellStart"/>
      <w:r w:rsidRPr="007673DB">
        <w:rPr>
          <w:rFonts w:cs="Calibri"/>
          <w:lang w:val="en-US"/>
        </w:rPr>
        <w:t>Skouboe</w:t>
      </w:r>
      <w:proofErr w:type="spellEnd"/>
      <w:r w:rsidR="004971B8">
        <w:rPr>
          <w:rFonts w:cs="Calibri"/>
          <w:lang w:val="en-US"/>
        </w:rPr>
        <w:t xml:space="preserve"> </w:t>
      </w:r>
      <w:proofErr w:type="spellStart"/>
      <w:r w:rsidRPr="007673DB">
        <w:rPr>
          <w:rFonts w:cs="Calibri"/>
          <w:lang w:val="en-US"/>
        </w:rPr>
        <w:t>Werge</w:t>
      </w:r>
      <w:proofErr w:type="spellEnd"/>
      <w:r w:rsidRPr="007673DB">
        <w:rPr>
          <w:rFonts w:cs="Calibri"/>
          <w:lang w:val="en-US"/>
        </w:rPr>
        <w:t xml:space="preserve"> Case: A Reluctance Acceptance of the Social Approach of Disability”, </w:t>
      </w:r>
      <w:r w:rsidRPr="007673DB">
        <w:rPr>
          <w:rFonts w:cs="Calibri"/>
          <w:i/>
          <w:lang w:val="en-US"/>
        </w:rPr>
        <w:t xml:space="preserve">European </w:t>
      </w:r>
      <w:proofErr w:type="spellStart"/>
      <w:r w:rsidRPr="007673DB">
        <w:rPr>
          <w:rFonts w:cs="Calibri"/>
          <w:i/>
          <w:lang w:val="en-US"/>
        </w:rPr>
        <w:t>Labour</w:t>
      </w:r>
      <w:proofErr w:type="spellEnd"/>
      <w:r w:rsidRPr="007673DB">
        <w:rPr>
          <w:rFonts w:cs="Calibri"/>
          <w:i/>
          <w:lang w:val="en-US"/>
        </w:rPr>
        <w:t xml:space="preserve"> Law Journal</w:t>
      </w:r>
      <w:r w:rsidRPr="007673DB">
        <w:rPr>
          <w:rFonts w:cs="Calibri"/>
          <w:lang w:val="en-US"/>
        </w:rPr>
        <w:t>,</w:t>
      </w:r>
      <w:r w:rsidRPr="00400A6A">
        <w:rPr>
          <w:rFonts w:cs="Calibri"/>
          <w:lang w:val="en-US"/>
        </w:rPr>
        <w:t xml:space="preserve"> </w:t>
      </w:r>
      <w:proofErr w:type="spellStart"/>
      <w:r w:rsidRPr="00400A6A">
        <w:rPr>
          <w:rFonts w:cs="Calibri"/>
          <w:lang w:val="en-US"/>
        </w:rPr>
        <w:t>núm</w:t>
      </w:r>
      <w:proofErr w:type="spellEnd"/>
      <w:r w:rsidRPr="00400A6A">
        <w:rPr>
          <w:rFonts w:cs="Calibri"/>
          <w:lang w:val="en-US"/>
        </w:rPr>
        <w:t xml:space="preserve">. </w:t>
      </w:r>
      <w:proofErr w:type="gramStart"/>
      <w:r w:rsidRPr="00400A6A">
        <w:rPr>
          <w:rFonts w:cs="Calibri"/>
          <w:lang w:val="en-US"/>
        </w:rPr>
        <w:t xml:space="preserve">4, 2013, </w:t>
      </w:r>
      <w:proofErr w:type="spellStart"/>
      <w:r w:rsidRPr="00400A6A">
        <w:rPr>
          <w:rFonts w:cs="Calibri"/>
          <w:lang w:val="en-US"/>
        </w:rPr>
        <w:t>pág</w:t>
      </w:r>
      <w:proofErr w:type="spellEnd"/>
      <w:r w:rsidRPr="00400A6A">
        <w:rPr>
          <w:rFonts w:cs="Calibri"/>
          <w:lang w:val="en-US"/>
        </w:rPr>
        <w:t>.</w:t>
      </w:r>
      <w:proofErr w:type="gramEnd"/>
      <w:r w:rsidRPr="00400A6A">
        <w:rPr>
          <w:rFonts w:cs="Calibri"/>
          <w:lang w:val="en-US"/>
        </w:rPr>
        <w:t xml:space="preserve"> 140.</w:t>
      </w:r>
    </w:p>
  </w:footnote>
  <w:footnote w:id="67">
    <w:p w:rsidR="00B67B13" w:rsidRDefault="00B67B13" w:rsidP="00300675">
      <w:pPr>
        <w:pStyle w:val="Textonotapie"/>
        <w:spacing w:after="0" w:line="240" w:lineRule="auto"/>
        <w:jc w:val="both"/>
      </w:pPr>
      <w:r w:rsidRPr="00FF6FB0">
        <w:rPr>
          <w:rStyle w:val="Refdenotaalpie"/>
        </w:rPr>
        <w:footnoteRef/>
      </w:r>
      <w:r w:rsidRPr="00FF6FB0">
        <w:t>Véase párrafos 49 a 58</w:t>
      </w:r>
      <w:r w:rsidR="004971B8">
        <w:t xml:space="preserve"> </w:t>
      </w:r>
      <w:r w:rsidRPr="00FF6FB0">
        <w:t>de la mencionada sentencia, que clarifica que el concepto “largo plazo”</w:t>
      </w:r>
      <w:r w:rsidR="004971B8">
        <w:t xml:space="preserve"> </w:t>
      </w:r>
      <w:r w:rsidRPr="00FF6FB0">
        <w:t xml:space="preserve">debe analizarse por el juez nacional con respecto al estado de incapacidad del interesado en la fecha en la que se adopta contra él el acto presuntamente discriminatorio, ya que se trata de una cuestión principalmente fáctica. Para ello, el TJUE establece como indicios el que, en la fecha del hecho presuntamente discriminatorio, </w:t>
      </w:r>
      <w:r w:rsidRPr="00FF6FB0">
        <w:rPr>
          <w:i/>
        </w:rPr>
        <w:t>la incapacidad del interesado no presente una perspectiva bien delimitada en cuanto a su finalización a corto plazo o […] el que dicha incapacidad pueda prolongarse significativamente antes del restablecimiento de dicha persona</w:t>
      </w:r>
      <w:r w:rsidRPr="00FF6FB0">
        <w:t xml:space="preserve"> (párrafo 56). </w:t>
      </w:r>
    </w:p>
    <w:p w:rsidR="004971B8" w:rsidRPr="00425F96" w:rsidRDefault="004971B8" w:rsidP="00425F96">
      <w:pPr>
        <w:pStyle w:val="Textonotapie"/>
        <w:spacing w:after="0" w:line="240" w:lineRule="auto"/>
        <w:jc w:val="both"/>
      </w:pPr>
      <w:r>
        <w:t xml:space="preserve">Para un estudio en profundidad sobre el alcance de esta sentencia, véase RODRÍGUEZ CARDO, I., “Despido de un trabajador en incapacidad temporal: ¿improcedencia o nulidad por discriminación?”, </w:t>
      </w:r>
      <w:r w:rsidR="00425F96">
        <w:rPr>
          <w:i/>
        </w:rPr>
        <w:t>La Ley Unión Europea</w:t>
      </w:r>
      <w:r w:rsidR="00425F96">
        <w:t xml:space="preserve">, núm. 43, 2016, pág. 1-6 (versión electrónica) y  SÁNCHEZ PÉREZ, J., “¿Es discriminatorio despedir en situación de incapacidad laboral? Los nuevos límites comunitarios. Comentario a la Sentencia del Tribunal de Justicia de la Unión Europea de 1 de diciembre de 2016, asunto C-395/15“, </w:t>
      </w:r>
      <w:r w:rsidR="00425F96" w:rsidRPr="00425F96">
        <w:rPr>
          <w:i/>
        </w:rPr>
        <w:t xml:space="preserve">Estudios financieros. Revista de trabajo y seguridad </w:t>
      </w:r>
      <w:proofErr w:type="spellStart"/>
      <w:r w:rsidR="00425F96" w:rsidRPr="00425F96">
        <w:rPr>
          <w:i/>
        </w:rPr>
        <w:t>socialComentarios</w:t>
      </w:r>
      <w:proofErr w:type="spellEnd"/>
      <w:r w:rsidR="00425F96" w:rsidRPr="00425F96">
        <w:rPr>
          <w:i/>
        </w:rPr>
        <w:t xml:space="preserve">, casos </w:t>
      </w:r>
      <w:proofErr w:type="gramStart"/>
      <w:r w:rsidR="00425F96" w:rsidRPr="00425F96">
        <w:rPr>
          <w:i/>
        </w:rPr>
        <w:t>prácticos :</w:t>
      </w:r>
      <w:proofErr w:type="gramEnd"/>
      <w:r w:rsidR="00425F96" w:rsidRPr="00425F96">
        <w:rPr>
          <w:i/>
        </w:rPr>
        <w:t xml:space="preserve"> recursos humanos</w:t>
      </w:r>
      <w:r w:rsidR="00425F96">
        <w:t xml:space="preserve">, núm. 406, 2017, págs. 173-177.  </w:t>
      </w:r>
    </w:p>
  </w:footnote>
  <w:footnote w:id="68">
    <w:p w:rsidR="00B67B13" w:rsidRPr="00400A6A" w:rsidRDefault="00B67B13" w:rsidP="00A16672">
      <w:pPr>
        <w:pStyle w:val="Textonotapie"/>
        <w:spacing w:after="0" w:line="240" w:lineRule="auto"/>
        <w:jc w:val="both"/>
        <w:rPr>
          <w:rFonts w:cs="Calibri"/>
          <w:lang w:val="en-US"/>
        </w:rPr>
      </w:pPr>
      <w:r w:rsidRPr="00FF6FB0">
        <w:rPr>
          <w:rStyle w:val="Refdenotaalpie"/>
          <w:rFonts w:cs="Calibri"/>
        </w:rPr>
        <w:footnoteRef/>
      </w:r>
      <w:proofErr w:type="spellStart"/>
      <w:r w:rsidRPr="00400A6A">
        <w:rPr>
          <w:rFonts w:cs="Calibri"/>
          <w:lang w:val="en-US"/>
        </w:rPr>
        <w:t>Así</w:t>
      </w:r>
      <w:proofErr w:type="spellEnd"/>
      <w:r w:rsidRPr="00400A6A">
        <w:rPr>
          <w:rFonts w:cs="Calibri"/>
          <w:lang w:val="en-US"/>
        </w:rPr>
        <w:t xml:space="preserve"> lo </w:t>
      </w:r>
      <w:proofErr w:type="spellStart"/>
      <w:r w:rsidRPr="00400A6A">
        <w:rPr>
          <w:rFonts w:cs="Calibri"/>
          <w:lang w:val="en-US"/>
        </w:rPr>
        <w:t>advierte</w:t>
      </w:r>
      <w:proofErr w:type="spellEnd"/>
      <w:r w:rsidRPr="00400A6A">
        <w:rPr>
          <w:rFonts w:cs="Calibri"/>
          <w:lang w:val="en-US"/>
        </w:rPr>
        <w:t xml:space="preserve"> WADDINGTON, L., “</w:t>
      </w:r>
      <w:r w:rsidRPr="007673DB">
        <w:rPr>
          <w:rFonts w:cs="Calibri"/>
          <w:lang w:val="en-US"/>
        </w:rPr>
        <w:t xml:space="preserve">HK </w:t>
      </w:r>
      <w:proofErr w:type="spellStart"/>
      <w:r w:rsidRPr="007673DB">
        <w:rPr>
          <w:rFonts w:cs="Calibri"/>
          <w:lang w:val="en-US"/>
        </w:rPr>
        <w:t>Danmark</w:t>
      </w:r>
      <w:proofErr w:type="spellEnd"/>
      <w:r w:rsidRPr="007673DB">
        <w:rPr>
          <w:rFonts w:cs="Calibri"/>
          <w:lang w:val="en-US"/>
        </w:rPr>
        <w:t xml:space="preserve"> (Ring and </w:t>
      </w:r>
      <w:proofErr w:type="spellStart"/>
      <w:r w:rsidRPr="007673DB">
        <w:rPr>
          <w:rFonts w:cs="Calibri"/>
          <w:lang w:val="en-US"/>
        </w:rPr>
        <w:t>Skouboe</w:t>
      </w:r>
      <w:r>
        <w:rPr>
          <w:rFonts w:cs="Calibri"/>
          <w:lang w:val="en-US"/>
        </w:rPr>
        <w:t>Werge</w:t>
      </w:r>
      <w:proofErr w:type="spellEnd"/>
      <w:r>
        <w:rPr>
          <w:rFonts w:cs="Calibri"/>
          <w:lang w:val="en-US"/>
        </w:rPr>
        <w:t>)…</w:t>
      </w:r>
      <w:proofErr w:type="gramStart"/>
      <w:r>
        <w:rPr>
          <w:rFonts w:cs="Calibri"/>
          <w:lang w:val="en-US"/>
        </w:rPr>
        <w:t>”,</w:t>
      </w:r>
      <w:proofErr w:type="gramEnd"/>
      <w:r>
        <w:rPr>
          <w:rFonts w:cs="Calibri"/>
          <w:lang w:val="en-US"/>
        </w:rPr>
        <w:t xml:space="preserve"> </w:t>
      </w:r>
      <w:r>
        <w:rPr>
          <w:rFonts w:cs="Calibri"/>
          <w:i/>
          <w:lang w:val="en-US"/>
        </w:rPr>
        <w:t>op. cit.</w:t>
      </w:r>
      <w:r>
        <w:rPr>
          <w:rFonts w:cs="Calibri"/>
          <w:lang w:val="en-US"/>
        </w:rPr>
        <w:t xml:space="preserve">, </w:t>
      </w:r>
      <w:proofErr w:type="spellStart"/>
      <w:r w:rsidRPr="00400A6A">
        <w:rPr>
          <w:rFonts w:cs="Calibri"/>
          <w:lang w:val="en-US"/>
        </w:rPr>
        <w:t>pág</w:t>
      </w:r>
      <w:proofErr w:type="spellEnd"/>
      <w:r w:rsidRPr="00400A6A">
        <w:rPr>
          <w:rFonts w:cs="Calibri"/>
          <w:lang w:val="en-US"/>
        </w:rPr>
        <w:t xml:space="preserve">. 21. </w:t>
      </w:r>
    </w:p>
  </w:footnote>
  <w:footnote w:id="69">
    <w:p w:rsidR="00B67B13" w:rsidRPr="00FF6FB0" w:rsidRDefault="00B67B13" w:rsidP="00BD6630">
      <w:pPr>
        <w:pStyle w:val="Textonotapie"/>
        <w:spacing w:after="0" w:line="240" w:lineRule="auto"/>
        <w:jc w:val="both"/>
      </w:pPr>
      <w:r w:rsidRPr="00FF6FB0">
        <w:rPr>
          <w:rStyle w:val="Refdenotaalpie"/>
        </w:rPr>
        <w:footnoteRef/>
      </w:r>
      <w:r w:rsidRPr="00FF6FB0">
        <w:rPr>
          <w:i/>
        </w:rPr>
        <w:t>Vid.</w:t>
      </w:r>
      <w:r w:rsidR="00C375BB">
        <w:rPr>
          <w:i/>
        </w:rPr>
        <w:t xml:space="preserve"> </w:t>
      </w:r>
      <w:r w:rsidRPr="00FF6FB0">
        <w:t xml:space="preserve">Párrafo 44 de las Conclusiones de la Abogada General J. </w:t>
      </w:r>
      <w:proofErr w:type="spellStart"/>
      <w:r w:rsidRPr="00FF6FB0">
        <w:t>Kokkot</w:t>
      </w:r>
      <w:proofErr w:type="spellEnd"/>
      <w:r w:rsidRPr="00FF6FB0">
        <w:t>, C</w:t>
      </w:r>
      <w:r w:rsidRPr="00FF6FB0">
        <w:rPr>
          <w:rFonts w:ascii="MS Gothic" w:eastAsia="MS Gothic" w:hAnsi="MS Gothic" w:cs="MS Gothic"/>
        </w:rPr>
        <w:t>‑</w:t>
      </w:r>
      <w:r w:rsidRPr="00FF6FB0">
        <w:t>335/11 y C</w:t>
      </w:r>
      <w:r w:rsidRPr="00FF6FB0">
        <w:rPr>
          <w:rFonts w:ascii="MS Gothic" w:eastAsia="MS Gothic" w:hAnsi="MS Gothic" w:cs="MS Gothic"/>
        </w:rPr>
        <w:t>‑</w:t>
      </w:r>
      <w:r w:rsidRPr="00FF6FB0">
        <w:t>337/11, EU</w:t>
      </w:r>
      <w:proofErr w:type="gramStart"/>
      <w:r w:rsidRPr="00FF6FB0">
        <w:t>:C:2012:775</w:t>
      </w:r>
      <w:proofErr w:type="gramEnd"/>
      <w:r w:rsidRPr="00FF6FB0">
        <w:t xml:space="preserve">. </w:t>
      </w:r>
    </w:p>
  </w:footnote>
  <w:footnote w:id="70">
    <w:p w:rsidR="00B67B13" w:rsidRPr="00FF6FB0" w:rsidRDefault="00B67B13" w:rsidP="00AC7F88">
      <w:pPr>
        <w:pStyle w:val="Textonotapie"/>
        <w:spacing w:after="0" w:line="240" w:lineRule="auto"/>
      </w:pPr>
      <w:r w:rsidRPr="00FF6FB0">
        <w:rPr>
          <w:rStyle w:val="Refdenotaalpie"/>
        </w:rPr>
        <w:footnoteRef/>
      </w:r>
      <w:r w:rsidRPr="00FF6FB0">
        <w:rPr>
          <w:i/>
        </w:rPr>
        <w:t>Vid.</w:t>
      </w:r>
      <w:r w:rsidR="00C375BB">
        <w:rPr>
          <w:i/>
        </w:rPr>
        <w:t xml:space="preserve"> </w:t>
      </w:r>
      <w:r w:rsidRPr="00FF6FB0">
        <w:t xml:space="preserve">Párrafo 42 de las Conclusiones de la Abogada General J. </w:t>
      </w:r>
      <w:proofErr w:type="spellStart"/>
      <w:r w:rsidRPr="00FF6FB0">
        <w:t>Kokkot</w:t>
      </w:r>
      <w:proofErr w:type="spellEnd"/>
      <w:r w:rsidRPr="00FF6FB0">
        <w:t>, C</w:t>
      </w:r>
      <w:r w:rsidRPr="00FF6FB0">
        <w:rPr>
          <w:rFonts w:ascii="MS Gothic" w:eastAsia="MS Gothic" w:hAnsi="MS Gothic" w:cs="MS Gothic"/>
        </w:rPr>
        <w:t>‑</w:t>
      </w:r>
      <w:r w:rsidRPr="00FF6FB0">
        <w:t>335/11 y C</w:t>
      </w:r>
      <w:r w:rsidRPr="00FF6FB0">
        <w:rPr>
          <w:rFonts w:ascii="MS Gothic" w:eastAsia="MS Gothic" w:hAnsi="MS Gothic" w:cs="MS Gothic"/>
        </w:rPr>
        <w:t>‑</w:t>
      </w:r>
      <w:r w:rsidRPr="00FF6FB0">
        <w:t>337/11, EU</w:t>
      </w:r>
      <w:proofErr w:type="gramStart"/>
      <w:r w:rsidRPr="00FF6FB0">
        <w:t>:C:2012:775</w:t>
      </w:r>
      <w:proofErr w:type="gramEnd"/>
      <w:r w:rsidRPr="00FF6FB0">
        <w:t>.</w:t>
      </w:r>
    </w:p>
  </w:footnote>
  <w:footnote w:id="71">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Véase párrafo 46 de la Sentencia HK </w:t>
      </w:r>
      <w:proofErr w:type="spellStart"/>
      <w:r w:rsidRPr="00FF6FB0">
        <w:rPr>
          <w:rFonts w:cs="Calibri"/>
        </w:rPr>
        <w:t>Danmark</w:t>
      </w:r>
      <w:proofErr w:type="spellEnd"/>
      <w:r w:rsidRPr="00FF6FB0">
        <w:rPr>
          <w:rFonts w:cs="Calibri"/>
        </w:rPr>
        <w:t xml:space="preserve">. </w:t>
      </w:r>
    </w:p>
  </w:footnote>
  <w:footnote w:id="72">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El mencionado considerando contempla como ejemplo de posibles medidas la adaptación de las instalaciones, equipamientos, pautas de trabajo, asignación de funciones o provisión de medios de formación encuadre. </w:t>
      </w:r>
    </w:p>
  </w:footnote>
  <w:footnote w:id="73">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La manifestación clave para llegar a esta conclusión la encontramos en el considerando 20 de la Directiva 2000/78, que utiliza la expresión “por ejemplo” para apuntar las medidas que pueden ser consideradas ajustes razonables. Sin embargo, el párrafo 54 de la sentencia HK </w:t>
      </w:r>
      <w:proofErr w:type="spellStart"/>
      <w:r w:rsidRPr="00FF6FB0">
        <w:rPr>
          <w:rFonts w:cs="Calibri"/>
        </w:rPr>
        <w:t>Danmark</w:t>
      </w:r>
      <w:proofErr w:type="spellEnd"/>
      <w:r w:rsidRPr="00FF6FB0">
        <w:rPr>
          <w:rFonts w:cs="Calibri"/>
        </w:rPr>
        <w:t xml:space="preserve"> apela a la eliminación de las barreras que dificultan la participación plena y efectiva de las personas discapacitadas en la vida profesional en igualdad de condiciones con los demás trabajadores como factor esencial para justificar una interpretación expansiva del concepto “ajuste razonable”.  </w:t>
      </w:r>
    </w:p>
  </w:footnote>
  <w:footnote w:id="74">
    <w:p w:rsidR="00B67B13" w:rsidRPr="00FF6FB0" w:rsidRDefault="00B67B13" w:rsidP="00A16672">
      <w:pPr>
        <w:pStyle w:val="Textonotapie"/>
        <w:spacing w:after="0" w:line="240" w:lineRule="auto"/>
        <w:jc w:val="both"/>
        <w:rPr>
          <w:rFonts w:cs="Calibri"/>
        </w:rPr>
      </w:pPr>
      <w:r w:rsidRPr="00FF6FB0">
        <w:rPr>
          <w:rStyle w:val="Refdenotaalpie"/>
          <w:rFonts w:cs="Calibri"/>
        </w:rPr>
        <w:footnoteRef/>
      </w:r>
      <w:r w:rsidRPr="00FF6FB0">
        <w:rPr>
          <w:rFonts w:cs="Calibri"/>
        </w:rPr>
        <w:t xml:space="preserve"> Véase párrafo 53 de la Sentencia HK </w:t>
      </w:r>
      <w:proofErr w:type="spellStart"/>
      <w:r w:rsidRPr="00FF6FB0">
        <w:rPr>
          <w:rFonts w:cs="Calibri"/>
        </w:rPr>
        <w:t>Danmark</w:t>
      </w:r>
      <w:proofErr w:type="spellEnd"/>
      <w:r w:rsidRPr="00FF6FB0">
        <w:rPr>
          <w:rFonts w:cs="Calibri"/>
        </w:rPr>
        <w:t>, que señala: “</w:t>
      </w:r>
      <w:r w:rsidRPr="00FF6FB0">
        <w:rPr>
          <w:rFonts w:cs="Calibri"/>
          <w:i/>
        </w:rPr>
        <w:t>Conforme al artículo 2, párrafo cuarto, de la Convención de la ONU, los «ajustes razonables» son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De ello se sigue que dicha disposición preconiza una definición amplia del concepto de «ajuste razonable».”</w:t>
      </w:r>
    </w:p>
  </w:footnote>
  <w:footnote w:id="75">
    <w:p w:rsidR="00B67B13" w:rsidRPr="00FF6FB0" w:rsidRDefault="00B67B13" w:rsidP="009345B1">
      <w:pPr>
        <w:pStyle w:val="Textonotapie"/>
        <w:spacing w:after="0" w:line="240" w:lineRule="auto"/>
        <w:jc w:val="both"/>
      </w:pPr>
      <w:r w:rsidRPr="00FF6FB0">
        <w:rPr>
          <w:rStyle w:val="Refdenotaalpie"/>
        </w:rPr>
        <w:footnoteRef/>
      </w:r>
      <w:r w:rsidRPr="00FF6FB0">
        <w:rPr>
          <w:i/>
        </w:rPr>
        <w:t>Vid</w:t>
      </w:r>
      <w:r w:rsidRPr="00FF6FB0">
        <w:t xml:space="preserve">. GOÑI SEIN, J.L. y  RODRÍGUEZ SANZ DE GALDEANO, B., </w:t>
      </w:r>
      <w:r w:rsidRPr="00FF6FB0">
        <w:rPr>
          <w:i/>
        </w:rPr>
        <w:t>Adaptación y reubicación laboral de trabajadores con limitaciones psicofísicas</w:t>
      </w:r>
      <w:r w:rsidRPr="00FF6FB0">
        <w:t>, Editorial Aranzadi, Nav</w:t>
      </w:r>
      <w:r w:rsidR="00C375BB">
        <w:t xml:space="preserve">arra, 2015, págs. 264 a 282 y </w:t>
      </w:r>
      <w:r w:rsidRPr="00FF6FB0">
        <w:t>PASTOR MARTINEZ, A., “El deber de adaptación de las condiciones de Trabajo en materia de discapacidad como l</w:t>
      </w:r>
      <w:r>
        <w:t>ímite a las facultades extintiva</w:t>
      </w:r>
      <w:r w:rsidRPr="00FF6FB0">
        <w:t xml:space="preserve">s del contrato de Trabajo” en V.V.A.A., </w:t>
      </w:r>
      <w:r w:rsidRPr="00FF6FB0">
        <w:rPr>
          <w:i/>
        </w:rPr>
        <w:t>Los derechos fundamentales inespecíficos en la relación laboral y en materia de protección social. XXIV Congreso Nacional de Derecho del Trabajo y de la Seguridad Social</w:t>
      </w:r>
      <w:r w:rsidRPr="00FF6FB0">
        <w:t xml:space="preserve">, Ediciones Cinca, Madrid, 2014, págs. 1-15 (formato electrónico). </w:t>
      </w:r>
    </w:p>
  </w:footnote>
  <w:footnote w:id="76">
    <w:p w:rsidR="00B67B13" w:rsidRPr="00FF6FB0" w:rsidRDefault="00B67B13" w:rsidP="007872C7">
      <w:pPr>
        <w:pStyle w:val="Textonotapie"/>
        <w:spacing w:after="0" w:line="240" w:lineRule="auto"/>
        <w:jc w:val="both"/>
        <w:rPr>
          <w:rFonts w:cs="Calibri"/>
        </w:rPr>
      </w:pPr>
      <w:r w:rsidRPr="00FF6FB0">
        <w:rPr>
          <w:rStyle w:val="Refdenotaalpie"/>
          <w:rFonts w:cs="Calibri"/>
        </w:rPr>
        <w:footnoteRef/>
      </w:r>
      <w:r w:rsidRPr="00FF6FB0">
        <w:rPr>
          <w:rFonts w:cs="Calibri"/>
        </w:rPr>
        <w:t xml:space="preserve"> Véase artículos 1 y 27 de la Convención.  </w:t>
      </w:r>
    </w:p>
  </w:footnote>
  <w:footnote w:id="77">
    <w:p w:rsidR="00B67B13" w:rsidRPr="00FF6FB0" w:rsidRDefault="00B67B13" w:rsidP="0032279A">
      <w:pPr>
        <w:pStyle w:val="Textonotapie"/>
        <w:spacing w:after="0" w:line="240" w:lineRule="auto"/>
        <w:jc w:val="both"/>
      </w:pPr>
      <w:r w:rsidRPr="00FF6FB0">
        <w:rPr>
          <w:rStyle w:val="Refdenotaalpie"/>
        </w:rPr>
        <w:footnoteRef/>
      </w:r>
      <w:r w:rsidRPr="00FF6FB0">
        <w:t xml:space="preserve"> Aunque la Convención no establece explícitamente que la ausencia de ajustes r</w:t>
      </w:r>
      <w:r w:rsidR="00647099">
        <w:t>azonables es discriminatoria, sí</w:t>
      </w:r>
      <w:r w:rsidRPr="00FF6FB0">
        <w:t xml:space="preserve"> que es cierto que el artículo 5.3 exige la adopción de medidas, por parte de los Estados, para asegurar la ejecución de esta medida a fin de eliminar la discriminación. Así pues, la Convención asocia la discriminación con la no realización de ajustes razonables. </w:t>
      </w:r>
      <w:r w:rsidR="00647099">
        <w:t>Para más información sobre los países que han reconocido la no realización de ajustes razonables como una forma de discriminación, véase la cita 46 de la presente comunicación.</w:t>
      </w:r>
    </w:p>
  </w:footnote>
  <w:footnote w:id="78">
    <w:p w:rsidR="00B67B13" w:rsidRPr="00FF6FB0" w:rsidRDefault="00B67B13" w:rsidP="0032279A">
      <w:pPr>
        <w:pStyle w:val="Textonotapie"/>
        <w:spacing w:after="0" w:line="240" w:lineRule="auto"/>
        <w:jc w:val="both"/>
      </w:pPr>
      <w:r w:rsidRPr="00FF6FB0">
        <w:rPr>
          <w:rStyle w:val="Refdenotaalpie"/>
        </w:rPr>
        <w:footnoteRef/>
      </w:r>
      <w:r w:rsidRPr="00FF6FB0">
        <w:t xml:space="preserve"> Véase artículo 3.1.c Directiva 2000/78, que prevé la aplicación de la Directiva en relac</w:t>
      </w:r>
      <w:r>
        <w:t>ión con las condiciones de empleo y t</w:t>
      </w:r>
      <w:r w:rsidRPr="00FF6FB0">
        <w:t xml:space="preserve">rabajo, incluidas las de despido y remuneración.  </w:t>
      </w:r>
    </w:p>
  </w:footnote>
  <w:footnote w:id="79">
    <w:p w:rsidR="00B67B13" w:rsidRPr="00FF6FB0" w:rsidRDefault="00B67B13" w:rsidP="00B60AD9">
      <w:pPr>
        <w:pStyle w:val="Textonotapie"/>
        <w:spacing w:after="0" w:line="240" w:lineRule="auto"/>
        <w:jc w:val="both"/>
        <w:rPr>
          <w:rFonts w:cs="Calibri"/>
        </w:rPr>
      </w:pPr>
      <w:r w:rsidRPr="00FF6FB0">
        <w:rPr>
          <w:rStyle w:val="Refdenotaalpie"/>
          <w:rFonts w:cs="Calibri"/>
        </w:rPr>
        <w:footnoteRef/>
      </w:r>
      <w:r w:rsidRPr="00FF6FB0">
        <w:rPr>
          <w:rFonts w:cs="Calibri"/>
        </w:rPr>
        <w:t xml:space="preserve"> Véase el párrafo 32 de la Sentencia </w:t>
      </w:r>
      <w:proofErr w:type="spellStart"/>
      <w:r w:rsidRPr="00FF6FB0">
        <w:rPr>
          <w:rFonts w:cs="Calibri"/>
        </w:rPr>
        <w:t>Hk</w:t>
      </w:r>
      <w:proofErr w:type="spellEnd"/>
      <w:r w:rsidRPr="00FF6FB0">
        <w:rPr>
          <w:rFonts w:cs="Calibri"/>
        </w:rPr>
        <w:t xml:space="preserve"> </w:t>
      </w:r>
      <w:proofErr w:type="spellStart"/>
      <w:r w:rsidRPr="00FF6FB0">
        <w:rPr>
          <w:rFonts w:cs="Calibri"/>
        </w:rPr>
        <w:t>Danmark</w:t>
      </w:r>
      <w:proofErr w:type="spellEnd"/>
      <w:r w:rsidRPr="00FF6FB0">
        <w:rPr>
          <w:rFonts w:cs="Calibri"/>
        </w:rPr>
        <w:t>, examinada en el apartado 2.2 de la presente comunicación.</w:t>
      </w:r>
    </w:p>
  </w:footnote>
  <w:footnote w:id="80">
    <w:p w:rsidR="00B67B13" w:rsidRPr="00FF6FB0" w:rsidRDefault="00B67B13" w:rsidP="00D1734C">
      <w:pPr>
        <w:pStyle w:val="Textonotapie"/>
        <w:spacing w:after="0" w:line="240" w:lineRule="auto"/>
        <w:jc w:val="both"/>
        <w:rPr>
          <w:rFonts w:asciiTheme="minorHAnsi" w:hAnsiTheme="minorHAnsi" w:cstheme="minorHAnsi"/>
        </w:rPr>
      </w:pPr>
      <w:r w:rsidRPr="00FF6FB0">
        <w:rPr>
          <w:rStyle w:val="Refdenotaalpie"/>
          <w:rFonts w:asciiTheme="minorHAnsi" w:hAnsiTheme="minorHAnsi" w:cstheme="minorHAnsi"/>
        </w:rPr>
        <w:footnoteRef/>
      </w:r>
      <w:r w:rsidRPr="00FF6FB0">
        <w:rPr>
          <w:rFonts w:asciiTheme="minorHAnsi" w:hAnsiTheme="minorHAnsi" w:cstheme="minorHAnsi"/>
        </w:rPr>
        <w:t xml:space="preserve"> Véase párrafo 53 de la Sentencia </w:t>
      </w:r>
      <w:proofErr w:type="spellStart"/>
      <w:r w:rsidRPr="00FF6FB0">
        <w:rPr>
          <w:rFonts w:asciiTheme="minorHAnsi" w:hAnsiTheme="minorHAnsi" w:cstheme="minorHAnsi"/>
        </w:rPr>
        <w:t>Hk</w:t>
      </w:r>
      <w:proofErr w:type="spellEnd"/>
      <w:r w:rsidRPr="00FF6FB0">
        <w:rPr>
          <w:rFonts w:asciiTheme="minorHAnsi" w:hAnsiTheme="minorHAnsi" w:cstheme="minorHAnsi"/>
        </w:rPr>
        <w:t xml:space="preserve"> </w:t>
      </w:r>
      <w:proofErr w:type="spellStart"/>
      <w:r w:rsidRPr="00FF6FB0">
        <w:rPr>
          <w:rFonts w:asciiTheme="minorHAnsi" w:hAnsiTheme="minorHAnsi" w:cstheme="minorHAnsi"/>
        </w:rPr>
        <w:t>Danmark</w:t>
      </w:r>
      <w:proofErr w:type="spellEnd"/>
      <w:r w:rsidRPr="00FF6FB0">
        <w:rPr>
          <w:rFonts w:asciiTheme="minorHAnsi" w:hAnsiTheme="minorHAnsi" w:cstheme="minorHAnsi"/>
        </w:rPr>
        <w:t>, examinada en el apartado 2.2 de la presente comunicación.</w:t>
      </w:r>
    </w:p>
  </w:footnote>
  <w:footnote w:id="81">
    <w:p w:rsidR="00B67B13" w:rsidRPr="00FF6FB0" w:rsidRDefault="00B67B13" w:rsidP="00D1734C">
      <w:pPr>
        <w:pStyle w:val="Textonotapie"/>
        <w:spacing w:after="0" w:line="240" w:lineRule="auto"/>
        <w:jc w:val="both"/>
      </w:pPr>
      <w:r w:rsidRPr="00FF6FB0">
        <w:rPr>
          <w:rStyle w:val="Refdenotaalpie"/>
          <w:rFonts w:asciiTheme="minorHAnsi" w:hAnsiTheme="minorHAnsi" w:cstheme="minorHAnsi"/>
        </w:rPr>
        <w:footnoteRef/>
      </w:r>
      <w:r w:rsidRPr="00FF6FB0">
        <w:rPr>
          <w:rFonts w:asciiTheme="minorHAnsi" w:hAnsiTheme="minorHAnsi" w:cstheme="minorHAnsi"/>
        </w:rPr>
        <w:t xml:space="preserve"> Véase especialmente el párrafo 49 de las  Conclusiones de la Abogada General J. </w:t>
      </w:r>
      <w:proofErr w:type="spellStart"/>
      <w:r w:rsidRPr="00FF6FB0">
        <w:rPr>
          <w:rFonts w:asciiTheme="minorHAnsi" w:hAnsiTheme="minorHAnsi" w:cstheme="minorHAnsi"/>
        </w:rPr>
        <w:t>Kokkot</w:t>
      </w:r>
      <w:proofErr w:type="spellEnd"/>
      <w:r w:rsidRPr="00FF6FB0">
        <w:rPr>
          <w:rFonts w:asciiTheme="minorHAnsi" w:hAnsiTheme="minorHAnsi" w:cstheme="minorHAnsi"/>
        </w:rPr>
        <w:t>, C</w:t>
      </w:r>
      <w:r w:rsidRPr="00FF6FB0">
        <w:rPr>
          <w:rFonts w:asciiTheme="minorHAnsi" w:eastAsia="MS Gothic" w:hAnsi="MS Gothic" w:cstheme="minorHAnsi"/>
        </w:rPr>
        <w:t>‑</w:t>
      </w:r>
      <w:r w:rsidRPr="00FF6FB0">
        <w:rPr>
          <w:rFonts w:asciiTheme="minorHAnsi" w:hAnsiTheme="minorHAnsi" w:cstheme="minorHAnsi"/>
        </w:rPr>
        <w:t>335/11 y C</w:t>
      </w:r>
      <w:r w:rsidRPr="00FF6FB0">
        <w:rPr>
          <w:rFonts w:asciiTheme="minorHAnsi" w:eastAsia="MS Gothic" w:hAnsi="MS Gothic" w:cstheme="minorHAnsi"/>
        </w:rPr>
        <w:t>‑</w:t>
      </w:r>
      <w:r w:rsidRPr="00FF6FB0">
        <w:rPr>
          <w:rFonts w:asciiTheme="minorHAnsi" w:hAnsiTheme="minorHAnsi" w:cstheme="minorHAnsi"/>
        </w:rPr>
        <w:t>337/11, EU</w:t>
      </w:r>
      <w:proofErr w:type="gramStart"/>
      <w:r w:rsidRPr="00FF6FB0">
        <w:rPr>
          <w:rFonts w:asciiTheme="minorHAnsi" w:hAnsiTheme="minorHAnsi" w:cstheme="minorHAnsi"/>
        </w:rPr>
        <w:t>:C:2012:775</w:t>
      </w:r>
      <w:proofErr w:type="gramEnd"/>
      <w:r w:rsidRPr="00FF6FB0">
        <w:rPr>
          <w:rFonts w:asciiTheme="minorHAnsi" w:hAnsiTheme="minorHAnsi" w:cstheme="minorHAnsi"/>
        </w:rPr>
        <w:t>, que señala que el objetivo del artículo 5 Directiva 200/78</w:t>
      </w:r>
      <w:r w:rsidRPr="00FF6FB0">
        <w:t xml:space="preserve"> “</w:t>
      </w:r>
      <w:r w:rsidRPr="00FF6FB0">
        <w:rPr>
          <w:i/>
        </w:rPr>
        <w:t xml:space="preserve">[…] no es sólo hacer realidad la igualdad de </w:t>
      </w:r>
      <w:r w:rsidRPr="00FF6FB0">
        <w:rPr>
          <w:i/>
          <w:iCs/>
        </w:rPr>
        <w:t xml:space="preserve">trato, </w:t>
      </w:r>
      <w:r w:rsidRPr="00FF6FB0">
        <w:rPr>
          <w:i/>
        </w:rPr>
        <w:t xml:space="preserve">sino la </w:t>
      </w:r>
      <w:r w:rsidRPr="00FF6FB0">
        <w:rPr>
          <w:i/>
          <w:iCs/>
        </w:rPr>
        <w:t xml:space="preserve">equiparación </w:t>
      </w:r>
      <w:r w:rsidRPr="00FF6FB0">
        <w:rPr>
          <w:i/>
        </w:rPr>
        <w:t>de las personas con discapacidad y posibilitarles con ello el ejercicio de una profesión.”</w:t>
      </w:r>
      <w:r w:rsidRPr="00FF6FB0">
        <w:t>. En este mismo sentido, el párrafo 58 de las mencionadas conclusiones es aún más explícito,  sosteniendo que “</w:t>
      </w:r>
      <w:r w:rsidRPr="00FF6FB0">
        <w:rPr>
          <w:i/>
        </w:rPr>
        <w:t>[…] lo determinante ha de ser si una medida concreta puede contribuir a que una persona con discapacidad pueda emprender una profesión o seguir desempeñándola. Así las cosas, se corresponde precisamente con la finalidad de la Directiva no excluir totalmente del mercado laboral a los trabajadores con discapacidad que, al menos, pueden trabajar parcialmente, sino posibilitarles la participación en la vida profesional mediante la oferta de un empleo a tiempo parcial.”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A6B47"/>
    <w:multiLevelType w:val="hybridMultilevel"/>
    <w:tmpl w:val="7AA0A8BE"/>
    <w:lvl w:ilvl="0" w:tplc="57F0F36E">
      <w:start w:val="1"/>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footnotePr>
    <w:footnote w:id="0"/>
    <w:footnote w:id="1"/>
    <w:footnote w:id="2"/>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04A"/>
    <w:rsid w:val="00010D43"/>
    <w:rsid w:val="000148D5"/>
    <w:rsid w:val="00014CAA"/>
    <w:rsid w:val="00015B12"/>
    <w:rsid w:val="00016A62"/>
    <w:rsid w:val="00017317"/>
    <w:rsid w:val="00017395"/>
    <w:rsid w:val="00017EAE"/>
    <w:rsid w:val="000207CC"/>
    <w:rsid w:val="0002753C"/>
    <w:rsid w:val="000443FB"/>
    <w:rsid w:val="0004551E"/>
    <w:rsid w:val="000501BA"/>
    <w:rsid w:val="00052EDE"/>
    <w:rsid w:val="00053C59"/>
    <w:rsid w:val="00060A95"/>
    <w:rsid w:val="00060FC5"/>
    <w:rsid w:val="00066508"/>
    <w:rsid w:val="00070B22"/>
    <w:rsid w:val="0007408E"/>
    <w:rsid w:val="00097086"/>
    <w:rsid w:val="00097AAC"/>
    <w:rsid w:val="000A5009"/>
    <w:rsid w:val="000A789A"/>
    <w:rsid w:val="000B12D5"/>
    <w:rsid w:val="000C0440"/>
    <w:rsid w:val="000C5587"/>
    <w:rsid w:val="000C605B"/>
    <w:rsid w:val="000D10E4"/>
    <w:rsid w:val="000D4223"/>
    <w:rsid w:val="000F7A67"/>
    <w:rsid w:val="001000F8"/>
    <w:rsid w:val="00104BFC"/>
    <w:rsid w:val="001114BD"/>
    <w:rsid w:val="001147C9"/>
    <w:rsid w:val="001177FE"/>
    <w:rsid w:val="001228D6"/>
    <w:rsid w:val="00123A6E"/>
    <w:rsid w:val="001254D0"/>
    <w:rsid w:val="001303C1"/>
    <w:rsid w:val="001307D4"/>
    <w:rsid w:val="001345E4"/>
    <w:rsid w:val="00136395"/>
    <w:rsid w:val="00136C02"/>
    <w:rsid w:val="00144311"/>
    <w:rsid w:val="0015087D"/>
    <w:rsid w:val="0015301C"/>
    <w:rsid w:val="001640C7"/>
    <w:rsid w:val="00164B98"/>
    <w:rsid w:val="00172842"/>
    <w:rsid w:val="001731C1"/>
    <w:rsid w:val="0017333C"/>
    <w:rsid w:val="00182A87"/>
    <w:rsid w:val="001842ED"/>
    <w:rsid w:val="00184399"/>
    <w:rsid w:val="00187088"/>
    <w:rsid w:val="00190D9E"/>
    <w:rsid w:val="00192A30"/>
    <w:rsid w:val="0019652E"/>
    <w:rsid w:val="00197155"/>
    <w:rsid w:val="001A1EC6"/>
    <w:rsid w:val="001A40A0"/>
    <w:rsid w:val="001A490A"/>
    <w:rsid w:val="001A63B1"/>
    <w:rsid w:val="001B1144"/>
    <w:rsid w:val="001B1386"/>
    <w:rsid w:val="001B2EC5"/>
    <w:rsid w:val="001C5336"/>
    <w:rsid w:val="001D058E"/>
    <w:rsid w:val="001D1DAC"/>
    <w:rsid w:val="001D3C1B"/>
    <w:rsid w:val="001D6346"/>
    <w:rsid w:val="001D7511"/>
    <w:rsid w:val="001D7E14"/>
    <w:rsid w:val="001E4FF2"/>
    <w:rsid w:val="001F0934"/>
    <w:rsid w:val="002041CB"/>
    <w:rsid w:val="002050C1"/>
    <w:rsid w:val="0021449A"/>
    <w:rsid w:val="00214C5E"/>
    <w:rsid w:val="002161D2"/>
    <w:rsid w:val="00222A4C"/>
    <w:rsid w:val="00225971"/>
    <w:rsid w:val="002325D2"/>
    <w:rsid w:val="002449EE"/>
    <w:rsid w:val="002449F5"/>
    <w:rsid w:val="002512F6"/>
    <w:rsid w:val="002626BB"/>
    <w:rsid w:val="0026516B"/>
    <w:rsid w:val="00271260"/>
    <w:rsid w:val="00271F31"/>
    <w:rsid w:val="00274E46"/>
    <w:rsid w:val="002752D1"/>
    <w:rsid w:val="00277F9B"/>
    <w:rsid w:val="00280317"/>
    <w:rsid w:val="002817FC"/>
    <w:rsid w:val="0028240E"/>
    <w:rsid w:val="0028273C"/>
    <w:rsid w:val="002850AB"/>
    <w:rsid w:val="00285C2D"/>
    <w:rsid w:val="002872F9"/>
    <w:rsid w:val="002A3A79"/>
    <w:rsid w:val="002A3E19"/>
    <w:rsid w:val="002A52EF"/>
    <w:rsid w:val="002A7019"/>
    <w:rsid w:val="002B3D81"/>
    <w:rsid w:val="002C0AAC"/>
    <w:rsid w:val="002C0D43"/>
    <w:rsid w:val="002D4772"/>
    <w:rsid w:val="002E0F05"/>
    <w:rsid w:val="002E187B"/>
    <w:rsid w:val="002E5430"/>
    <w:rsid w:val="002E6AD0"/>
    <w:rsid w:val="002E74E9"/>
    <w:rsid w:val="002F73A9"/>
    <w:rsid w:val="00300675"/>
    <w:rsid w:val="00302CF1"/>
    <w:rsid w:val="003061B8"/>
    <w:rsid w:val="00306E05"/>
    <w:rsid w:val="00311F84"/>
    <w:rsid w:val="003129E7"/>
    <w:rsid w:val="00312E8D"/>
    <w:rsid w:val="00315FAC"/>
    <w:rsid w:val="00322022"/>
    <w:rsid w:val="0032279A"/>
    <w:rsid w:val="003227B5"/>
    <w:rsid w:val="003329A9"/>
    <w:rsid w:val="003335BC"/>
    <w:rsid w:val="00335CD6"/>
    <w:rsid w:val="00337448"/>
    <w:rsid w:val="003438E9"/>
    <w:rsid w:val="00355225"/>
    <w:rsid w:val="00362C89"/>
    <w:rsid w:val="00365C5E"/>
    <w:rsid w:val="00370986"/>
    <w:rsid w:val="00371620"/>
    <w:rsid w:val="00374D9B"/>
    <w:rsid w:val="0039243C"/>
    <w:rsid w:val="00394D2F"/>
    <w:rsid w:val="003954D8"/>
    <w:rsid w:val="0039647F"/>
    <w:rsid w:val="00397983"/>
    <w:rsid w:val="003B00E9"/>
    <w:rsid w:val="003B0B30"/>
    <w:rsid w:val="003B168C"/>
    <w:rsid w:val="003B2B51"/>
    <w:rsid w:val="003B64F2"/>
    <w:rsid w:val="003C05E4"/>
    <w:rsid w:val="003C1F59"/>
    <w:rsid w:val="003C7968"/>
    <w:rsid w:val="003D3B58"/>
    <w:rsid w:val="003D7C62"/>
    <w:rsid w:val="003E5688"/>
    <w:rsid w:val="003F1BE7"/>
    <w:rsid w:val="003F7C13"/>
    <w:rsid w:val="00400A6A"/>
    <w:rsid w:val="00400CA0"/>
    <w:rsid w:val="00404AE0"/>
    <w:rsid w:val="00404CBC"/>
    <w:rsid w:val="00407097"/>
    <w:rsid w:val="0040751E"/>
    <w:rsid w:val="00411161"/>
    <w:rsid w:val="004131C1"/>
    <w:rsid w:val="004134E6"/>
    <w:rsid w:val="00416D0E"/>
    <w:rsid w:val="004222C6"/>
    <w:rsid w:val="00422E53"/>
    <w:rsid w:val="00425F96"/>
    <w:rsid w:val="004268D3"/>
    <w:rsid w:val="0043497D"/>
    <w:rsid w:val="00443224"/>
    <w:rsid w:val="004443CF"/>
    <w:rsid w:val="0046067B"/>
    <w:rsid w:val="00460D2C"/>
    <w:rsid w:val="00465004"/>
    <w:rsid w:val="004718F7"/>
    <w:rsid w:val="00481661"/>
    <w:rsid w:val="00481C0B"/>
    <w:rsid w:val="00490607"/>
    <w:rsid w:val="004971B8"/>
    <w:rsid w:val="004A43B4"/>
    <w:rsid w:val="004B3940"/>
    <w:rsid w:val="004B3A23"/>
    <w:rsid w:val="004C4CAF"/>
    <w:rsid w:val="004D2822"/>
    <w:rsid w:val="004D50C4"/>
    <w:rsid w:val="004F1677"/>
    <w:rsid w:val="004F4942"/>
    <w:rsid w:val="005026C0"/>
    <w:rsid w:val="00506DC5"/>
    <w:rsid w:val="005103EA"/>
    <w:rsid w:val="005129BC"/>
    <w:rsid w:val="00516B56"/>
    <w:rsid w:val="005177C8"/>
    <w:rsid w:val="00527A87"/>
    <w:rsid w:val="005337F8"/>
    <w:rsid w:val="00534127"/>
    <w:rsid w:val="0053553D"/>
    <w:rsid w:val="00536149"/>
    <w:rsid w:val="00537CF1"/>
    <w:rsid w:val="00540FF0"/>
    <w:rsid w:val="00542D9C"/>
    <w:rsid w:val="00543633"/>
    <w:rsid w:val="00545CFF"/>
    <w:rsid w:val="0055074E"/>
    <w:rsid w:val="005521BB"/>
    <w:rsid w:val="0055237B"/>
    <w:rsid w:val="00556076"/>
    <w:rsid w:val="00556A05"/>
    <w:rsid w:val="00561843"/>
    <w:rsid w:val="00562E72"/>
    <w:rsid w:val="005740E9"/>
    <w:rsid w:val="00580D88"/>
    <w:rsid w:val="00581567"/>
    <w:rsid w:val="005842A8"/>
    <w:rsid w:val="00585C34"/>
    <w:rsid w:val="005917DA"/>
    <w:rsid w:val="00595918"/>
    <w:rsid w:val="0059714D"/>
    <w:rsid w:val="005B2D3E"/>
    <w:rsid w:val="005B5AA0"/>
    <w:rsid w:val="005B66F6"/>
    <w:rsid w:val="005C0069"/>
    <w:rsid w:val="005D0939"/>
    <w:rsid w:val="005D2788"/>
    <w:rsid w:val="005D6DB1"/>
    <w:rsid w:val="005E2AFC"/>
    <w:rsid w:val="005E5A5D"/>
    <w:rsid w:val="005E6E05"/>
    <w:rsid w:val="005F1EB8"/>
    <w:rsid w:val="00600257"/>
    <w:rsid w:val="00602F29"/>
    <w:rsid w:val="0060369C"/>
    <w:rsid w:val="00603BE7"/>
    <w:rsid w:val="00604C9C"/>
    <w:rsid w:val="0061291A"/>
    <w:rsid w:val="0061398D"/>
    <w:rsid w:val="0061401E"/>
    <w:rsid w:val="00616BBF"/>
    <w:rsid w:val="00622338"/>
    <w:rsid w:val="00631884"/>
    <w:rsid w:val="00632D06"/>
    <w:rsid w:val="00637393"/>
    <w:rsid w:val="00647099"/>
    <w:rsid w:val="006507B2"/>
    <w:rsid w:val="00652406"/>
    <w:rsid w:val="00652693"/>
    <w:rsid w:val="006620A5"/>
    <w:rsid w:val="006656DF"/>
    <w:rsid w:val="0068257D"/>
    <w:rsid w:val="0068432F"/>
    <w:rsid w:val="006A10E4"/>
    <w:rsid w:val="006A6A82"/>
    <w:rsid w:val="006A71EC"/>
    <w:rsid w:val="006A7AA3"/>
    <w:rsid w:val="006B5337"/>
    <w:rsid w:val="006C0A5A"/>
    <w:rsid w:val="006C230D"/>
    <w:rsid w:val="006C37CD"/>
    <w:rsid w:val="006E1980"/>
    <w:rsid w:val="006E1A74"/>
    <w:rsid w:val="006E76B2"/>
    <w:rsid w:val="006F0AA2"/>
    <w:rsid w:val="006F1444"/>
    <w:rsid w:val="006F1651"/>
    <w:rsid w:val="006F4698"/>
    <w:rsid w:val="006F54CB"/>
    <w:rsid w:val="00705D21"/>
    <w:rsid w:val="00706DF3"/>
    <w:rsid w:val="0070745E"/>
    <w:rsid w:val="0071270F"/>
    <w:rsid w:val="00724760"/>
    <w:rsid w:val="00730F72"/>
    <w:rsid w:val="00740AE7"/>
    <w:rsid w:val="00743A6D"/>
    <w:rsid w:val="00755576"/>
    <w:rsid w:val="00757D1A"/>
    <w:rsid w:val="00762EFC"/>
    <w:rsid w:val="007673DB"/>
    <w:rsid w:val="00767D38"/>
    <w:rsid w:val="0077221F"/>
    <w:rsid w:val="00784D31"/>
    <w:rsid w:val="007872C7"/>
    <w:rsid w:val="00792E48"/>
    <w:rsid w:val="007943A1"/>
    <w:rsid w:val="007A2471"/>
    <w:rsid w:val="007A4131"/>
    <w:rsid w:val="007A41CC"/>
    <w:rsid w:val="007A70DB"/>
    <w:rsid w:val="007B6FB6"/>
    <w:rsid w:val="007B7143"/>
    <w:rsid w:val="007C3577"/>
    <w:rsid w:val="007C4C7F"/>
    <w:rsid w:val="007D15B8"/>
    <w:rsid w:val="007D6491"/>
    <w:rsid w:val="007E04BB"/>
    <w:rsid w:val="007E0A86"/>
    <w:rsid w:val="007F4429"/>
    <w:rsid w:val="007F47B7"/>
    <w:rsid w:val="007F6E5E"/>
    <w:rsid w:val="008009D5"/>
    <w:rsid w:val="00801B56"/>
    <w:rsid w:val="00803C1F"/>
    <w:rsid w:val="00806802"/>
    <w:rsid w:val="00814C5D"/>
    <w:rsid w:val="00815707"/>
    <w:rsid w:val="00816776"/>
    <w:rsid w:val="00822B22"/>
    <w:rsid w:val="00831D5B"/>
    <w:rsid w:val="008334FD"/>
    <w:rsid w:val="00834561"/>
    <w:rsid w:val="00837A81"/>
    <w:rsid w:val="008450EF"/>
    <w:rsid w:val="00850118"/>
    <w:rsid w:val="00851A0C"/>
    <w:rsid w:val="00851DAF"/>
    <w:rsid w:val="00861CFE"/>
    <w:rsid w:val="00866ABA"/>
    <w:rsid w:val="00866BDF"/>
    <w:rsid w:val="008744A2"/>
    <w:rsid w:val="00877867"/>
    <w:rsid w:val="00880B00"/>
    <w:rsid w:val="0088419E"/>
    <w:rsid w:val="00886C31"/>
    <w:rsid w:val="008874C1"/>
    <w:rsid w:val="00893835"/>
    <w:rsid w:val="008959F5"/>
    <w:rsid w:val="00895A17"/>
    <w:rsid w:val="00896877"/>
    <w:rsid w:val="008975F0"/>
    <w:rsid w:val="008B20E9"/>
    <w:rsid w:val="008B7F99"/>
    <w:rsid w:val="008C2CAC"/>
    <w:rsid w:val="008C382D"/>
    <w:rsid w:val="008C6357"/>
    <w:rsid w:val="008C6A60"/>
    <w:rsid w:val="008D03A5"/>
    <w:rsid w:val="008D1168"/>
    <w:rsid w:val="008E7111"/>
    <w:rsid w:val="008F02DD"/>
    <w:rsid w:val="008F0A6A"/>
    <w:rsid w:val="008F1B1E"/>
    <w:rsid w:val="008F2838"/>
    <w:rsid w:val="008F4D38"/>
    <w:rsid w:val="009064E9"/>
    <w:rsid w:val="00910090"/>
    <w:rsid w:val="00916978"/>
    <w:rsid w:val="00917B5E"/>
    <w:rsid w:val="00920F0B"/>
    <w:rsid w:val="009217C4"/>
    <w:rsid w:val="00922AB4"/>
    <w:rsid w:val="0092355E"/>
    <w:rsid w:val="009239F3"/>
    <w:rsid w:val="00924E4A"/>
    <w:rsid w:val="009257C8"/>
    <w:rsid w:val="009318A9"/>
    <w:rsid w:val="009345B1"/>
    <w:rsid w:val="00940C32"/>
    <w:rsid w:val="00943092"/>
    <w:rsid w:val="00943718"/>
    <w:rsid w:val="0094388D"/>
    <w:rsid w:val="00943A44"/>
    <w:rsid w:val="009538A7"/>
    <w:rsid w:val="00953F20"/>
    <w:rsid w:val="00954457"/>
    <w:rsid w:val="0095554A"/>
    <w:rsid w:val="00957FAA"/>
    <w:rsid w:val="0096698E"/>
    <w:rsid w:val="00966F19"/>
    <w:rsid w:val="00970143"/>
    <w:rsid w:val="009705EC"/>
    <w:rsid w:val="00980C49"/>
    <w:rsid w:val="00983E53"/>
    <w:rsid w:val="0098482C"/>
    <w:rsid w:val="0099025D"/>
    <w:rsid w:val="009951AA"/>
    <w:rsid w:val="009A21B5"/>
    <w:rsid w:val="009A4750"/>
    <w:rsid w:val="009A76F6"/>
    <w:rsid w:val="009A77D2"/>
    <w:rsid w:val="009B3132"/>
    <w:rsid w:val="009B5924"/>
    <w:rsid w:val="009B631D"/>
    <w:rsid w:val="009B7E07"/>
    <w:rsid w:val="009C18D5"/>
    <w:rsid w:val="009C3E24"/>
    <w:rsid w:val="009D29CD"/>
    <w:rsid w:val="009D4E11"/>
    <w:rsid w:val="009E088D"/>
    <w:rsid w:val="009E27EE"/>
    <w:rsid w:val="009E2AA9"/>
    <w:rsid w:val="009E5051"/>
    <w:rsid w:val="009F2C55"/>
    <w:rsid w:val="009F3195"/>
    <w:rsid w:val="009F624D"/>
    <w:rsid w:val="009F69BF"/>
    <w:rsid w:val="009F7289"/>
    <w:rsid w:val="00A01D38"/>
    <w:rsid w:val="00A11407"/>
    <w:rsid w:val="00A159BD"/>
    <w:rsid w:val="00A16672"/>
    <w:rsid w:val="00A23CFB"/>
    <w:rsid w:val="00A2431D"/>
    <w:rsid w:val="00A2746D"/>
    <w:rsid w:val="00A30C87"/>
    <w:rsid w:val="00A30EC9"/>
    <w:rsid w:val="00A350B1"/>
    <w:rsid w:val="00A37C69"/>
    <w:rsid w:val="00A543F3"/>
    <w:rsid w:val="00A54BB3"/>
    <w:rsid w:val="00A62E7A"/>
    <w:rsid w:val="00A63637"/>
    <w:rsid w:val="00A65737"/>
    <w:rsid w:val="00A754FD"/>
    <w:rsid w:val="00A8009B"/>
    <w:rsid w:val="00A85A89"/>
    <w:rsid w:val="00A9248A"/>
    <w:rsid w:val="00AA333B"/>
    <w:rsid w:val="00AA6D90"/>
    <w:rsid w:val="00AA6DD5"/>
    <w:rsid w:val="00AB33FD"/>
    <w:rsid w:val="00AB5233"/>
    <w:rsid w:val="00AB68E7"/>
    <w:rsid w:val="00AC03BC"/>
    <w:rsid w:val="00AC2483"/>
    <w:rsid w:val="00AC3F98"/>
    <w:rsid w:val="00AC6181"/>
    <w:rsid w:val="00AC7517"/>
    <w:rsid w:val="00AC7F88"/>
    <w:rsid w:val="00AD5BF0"/>
    <w:rsid w:val="00AE29A6"/>
    <w:rsid w:val="00AE3A02"/>
    <w:rsid w:val="00AE49F4"/>
    <w:rsid w:val="00AF3A55"/>
    <w:rsid w:val="00AF7C75"/>
    <w:rsid w:val="00B02978"/>
    <w:rsid w:val="00B06693"/>
    <w:rsid w:val="00B13345"/>
    <w:rsid w:val="00B14F09"/>
    <w:rsid w:val="00B16DC8"/>
    <w:rsid w:val="00B170FB"/>
    <w:rsid w:val="00B17BA8"/>
    <w:rsid w:val="00B2286C"/>
    <w:rsid w:val="00B23F55"/>
    <w:rsid w:val="00B321F8"/>
    <w:rsid w:val="00B33B89"/>
    <w:rsid w:val="00B3583C"/>
    <w:rsid w:val="00B40C9E"/>
    <w:rsid w:val="00B43C29"/>
    <w:rsid w:val="00B6020D"/>
    <w:rsid w:val="00B60AD9"/>
    <w:rsid w:val="00B649B7"/>
    <w:rsid w:val="00B67B13"/>
    <w:rsid w:val="00B718C2"/>
    <w:rsid w:val="00B72CB0"/>
    <w:rsid w:val="00B84528"/>
    <w:rsid w:val="00B87994"/>
    <w:rsid w:val="00B9098E"/>
    <w:rsid w:val="00BA0354"/>
    <w:rsid w:val="00BA48D0"/>
    <w:rsid w:val="00BB0B45"/>
    <w:rsid w:val="00BB2D2A"/>
    <w:rsid w:val="00BB33C0"/>
    <w:rsid w:val="00BB74BF"/>
    <w:rsid w:val="00BC07B0"/>
    <w:rsid w:val="00BC320C"/>
    <w:rsid w:val="00BD0870"/>
    <w:rsid w:val="00BD1139"/>
    <w:rsid w:val="00BD6630"/>
    <w:rsid w:val="00BE018B"/>
    <w:rsid w:val="00BE433F"/>
    <w:rsid w:val="00BF0E07"/>
    <w:rsid w:val="00BF17D3"/>
    <w:rsid w:val="00BF2E63"/>
    <w:rsid w:val="00BF4E51"/>
    <w:rsid w:val="00C03412"/>
    <w:rsid w:val="00C055BD"/>
    <w:rsid w:val="00C0673C"/>
    <w:rsid w:val="00C06CC1"/>
    <w:rsid w:val="00C13A66"/>
    <w:rsid w:val="00C1466B"/>
    <w:rsid w:val="00C1520F"/>
    <w:rsid w:val="00C1554F"/>
    <w:rsid w:val="00C2644B"/>
    <w:rsid w:val="00C269D1"/>
    <w:rsid w:val="00C30FD6"/>
    <w:rsid w:val="00C3267F"/>
    <w:rsid w:val="00C32E7A"/>
    <w:rsid w:val="00C33974"/>
    <w:rsid w:val="00C362A9"/>
    <w:rsid w:val="00C36B53"/>
    <w:rsid w:val="00C375BB"/>
    <w:rsid w:val="00C420F3"/>
    <w:rsid w:val="00C423D3"/>
    <w:rsid w:val="00C428E8"/>
    <w:rsid w:val="00C44650"/>
    <w:rsid w:val="00C45832"/>
    <w:rsid w:val="00C45AEC"/>
    <w:rsid w:val="00C466EA"/>
    <w:rsid w:val="00C4715B"/>
    <w:rsid w:val="00C47514"/>
    <w:rsid w:val="00C47EE0"/>
    <w:rsid w:val="00C509CF"/>
    <w:rsid w:val="00C52D89"/>
    <w:rsid w:val="00C55B6A"/>
    <w:rsid w:val="00C56AB0"/>
    <w:rsid w:val="00C600F9"/>
    <w:rsid w:val="00C66637"/>
    <w:rsid w:val="00C6766A"/>
    <w:rsid w:val="00C70510"/>
    <w:rsid w:val="00C711E1"/>
    <w:rsid w:val="00C731D2"/>
    <w:rsid w:val="00C77C83"/>
    <w:rsid w:val="00C869D3"/>
    <w:rsid w:val="00C976C4"/>
    <w:rsid w:val="00CA1315"/>
    <w:rsid w:val="00CA369E"/>
    <w:rsid w:val="00CB12BE"/>
    <w:rsid w:val="00CB62E3"/>
    <w:rsid w:val="00CB6FB6"/>
    <w:rsid w:val="00CC3568"/>
    <w:rsid w:val="00CC7D14"/>
    <w:rsid w:val="00CD0F60"/>
    <w:rsid w:val="00CD59F6"/>
    <w:rsid w:val="00CD666D"/>
    <w:rsid w:val="00CD6840"/>
    <w:rsid w:val="00CD7B1F"/>
    <w:rsid w:val="00CD7CA2"/>
    <w:rsid w:val="00CE1DC2"/>
    <w:rsid w:val="00CE2E0C"/>
    <w:rsid w:val="00CE5B35"/>
    <w:rsid w:val="00CE6E83"/>
    <w:rsid w:val="00CF6A24"/>
    <w:rsid w:val="00D007D3"/>
    <w:rsid w:val="00D009BB"/>
    <w:rsid w:val="00D00FBC"/>
    <w:rsid w:val="00D02211"/>
    <w:rsid w:val="00D075F8"/>
    <w:rsid w:val="00D10BA6"/>
    <w:rsid w:val="00D16C54"/>
    <w:rsid w:val="00D1734C"/>
    <w:rsid w:val="00D221E3"/>
    <w:rsid w:val="00D2243C"/>
    <w:rsid w:val="00D23851"/>
    <w:rsid w:val="00D24658"/>
    <w:rsid w:val="00D2600F"/>
    <w:rsid w:val="00D26641"/>
    <w:rsid w:val="00D30628"/>
    <w:rsid w:val="00D3232F"/>
    <w:rsid w:val="00D408C8"/>
    <w:rsid w:val="00D45EAD"/>
    <w:rsid w:val="00D5011B"/>
    <w:rsid w:val="00D57838"/>
    <w:rsid w:val="00D604D2"/>
    <w:rsid w:val="00D614E6"/>
    <w:rsid w:val="00D637EE"/>
    <w:rsid w:val="00D63C74"/>
    <w:rsid w:val="00D673DF"/>
    <w:rsid w:val="00D7028E"/>
    <w:rsid w:val="00D7262C"/>
    <w:rsid w:val="00D83D7C"/>
    <w:rsid w:val="00D8415B"/>
    <w:rsid w:val="00D94BE2"/>
    <w:rsid w:val="00D97302"/>
    <w:rsid w:val="00D97411"/>
    <w:rsid w:val="00DA0D9D"/>
    <w:rsid w:val="00DB453C"/>
    <w:rsid w:val="00DC0C0A"/>
    <w:rsid w:val="00DC4617"/>
    <w:rsid w:val="00DC5008"/>
    <w:rsid w:val="00DC60D2"/>
    <w:rsid w:val="00DC795B"/>
    <w:rsid w:val="00DC7A54"/>
    <w:rsid w:val="00DD453F"/>
    <w:rsid w:val="00DE531F"/>
    <w:rsid w:val="00DE6915"/>
    <w:rsid w:val="00DF5684"/>
    <w:rsid w:val="00E028A8"/>
    <w:rsid w:val="00E13A4D"/>
    <w:rsid w:val="00E1732C"/>
    <w:rsid w:val="00E1762B"/>
    <w:rsid w:val="00E20781"/>
    <w:rsid w:val="00E213DD"/>
    <w:rsid w:val="00E2291B"/>
    <w:rsid w:val="00E23094"/>
    <w:rsid w:val="00E33A26"/>
    <w:rsid w:val="00E406CB"/>
    <w:rsid w:val="00E428B5"/>
    <w:rsid w:val="00E508B6"/>
    <w:rsid w:val="00E571C5"/>
    <w:rsid w:val="00E60C93"/>
    <w:rsid w:val="00E613EF"/>
    <w:rsid w:val="00E62B14"/>
    <w:rsid w:val="00E62DCA"/>
    <w:rsid w:val="00E634E7"/>
    <w:rsid w:val="00E63D57"/>
    <w:rsid w:val="00E65F73"/>
    <w:rsid w:val="00E662EC"/>
    <w:rsid w:val="00E71A05"/>
    <w:rsid w:val="00E8219D"/>
    <w:rsid w:val="00E8433D"/>
    <w:rsid w:val="00E85989"/>
    <w:rsid w:val="00E90AED"/>
    <w:rsid w:val="00E94BD3"/>
    <w:rsid w:val="00E977D6"/>
    <w:rsid w:val="00EA2F4C"/>
    <w:rsid w:val="00EA68AE"/>
    <w:rsid w:val="00EB2BB2"/>
    <w:rsid w:val="00EC2844"/>
    <w:rsid w:val="00ED20A9"/>
    <w:rsid w:val="00ED4C41"/>
    <w:rsid w:val="00ED5FF7"/>
    <w:rsid w:val="00ED66A0"/>
    <w:rsid w:val="00ED6C2E"/>
    <w:rsid w:val="00EF0AB1"/>
    <w:rsid w:val="00EF4A3B"/>
    <w:rsid w:val="00EF4F38"/>
    <w:rsid w:val="00EF6810"/>
    <w:rsid w:val="00EF6D55"/>
    <w:rsid w:val="00F03358"/>
    <w:rsid w:val="00F076DA"/>
    <w:rsid w:val="00F11DD5"/>
    <w:rsid w:val="00F13802"/>
    <w:rsid w:val="00F16804"/>
    <w:rsid w:val="00F17862"/>
    <w:rsid w:val="00F17E31"/>
    <w:rsid w:val="00F24327"/>
    <w:rsid w:val="00F317B4"/>
    <w:rsid w:val="00F44044"/>
    <w:rsid w:val="00F45E77"/>
    <w:rsid w:val="00F61042"/>
    <w:rsid w:val="00F72C0C"/>
    <w:rsid w:val="00F7318B"/>
    <w:rsid w:val="00F75F68"/>
    <w:rsid w:val="00F76B96"/>
    <w:rsid w:val="00F82D28"/>
    <w:rsid w:val="00F8328A"/>
    <w:rsid w:val="00F85DF4"/>
    <w:rsid w:val="00F92B85"/>
    <w:rsid w:val="00F9722D"/>
    <w:rsid w:val="00FA0340"/>
    <w:rsid w:val="00FB0238"/>
    <w:rsid w:val="00FB5AF3"/>
    <w:rsid w:val="00FB7B8A"/>
    <w:rsid w:val="00FC0016"/>
    <w:rsid w:val="00FC0822"/>
    <w:rsid w:val="00FC204A"/>
    <w:rsid w:val="00FC30FF"/>
    <w:rsid w:val="00FC5CE1"/>
    <w:rsid w:val="00FC6019"/>
    <w:rsid w:val="00FD2FE4"/>
    <w:rsid w:val="00FD3E6C"/>
    <w:rsid w:val="00FD7F40"/>
    <w:rsid w:val="00FE210D"/>
    <w:rsid w:val="00FE2CF7"/>
    <w:rsid w:val="00FE34B3"/>
    <w:rsid w:val="00FE5F4D"/>
    <w:rsid w:val="00FE6EEF"/>
    <w:rsid w:val="00FF25E1"/>
    <w:rsid w:val="00FF35E7"/>
    <w:rsid w:val="00FF4597"/>
    <w:rsid w:val="00FF55EF"/>
    <w:rsid w:val="00FF6F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16B"/>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C204A"/>
    <w:pPr>
      <w:ind w:left="720"/>
      <w:contextualSpacing/>
    </w:pPr>
  </w:style>
  <w:style w:type="paragraph" w:styleId="Piedepgina">
    <w:name w:val="footer"/>
    <w:basedOn w:val="Normal"/>
    <w:link w:val="PiedepginaCar"/>
    <w:uiPriority w:val="99"/>
    <w:rsid w:val="00EA68AE"/>
    <w:pPr>
      <w:tabs>
        <w:tab w:val="center" w:pos="4252"/>
        <w:tab w:val="right" w:pos="8504"/>
      </w:tabs>
    </w:pPr>
  </w:style>
  <w:style w:type="character" w:customStyle="1" w:styleId="PiedepginaCar">
    <w:name w:val="Pie de página Car"/>
    <w:link w:val="Piedepgina"/>
    <w:uiPriority w:val="99"/>
    <w:semiHidden/>
    <w:rsid w:val="004E7882"/>
    <w:rPr>
      <w:lang w:val="es-ES" w:eastAsia="es-ES"/>
    </w:rPr>
  </w:style>
  <w:style w:type="character" w:styleId="Nmerodepgina">
    <w:name w:val="page number"/>
    <w:uiPriority w:val="99"/>
    <w:rsid w:val="00EA68AE"/>
    <w:rPr>
      <w:rFonts w:cs="Times New Roman"/>
    </w:rPr>
  </w:style>
  <w:style w:type="character" w:styleId="Hipervnculo">
    <w:name w:val="Hyperlink"/>
    <w:uiPriority w:val="99"/>
    <w:unhideWhenUsed/>
    <w:rsid w:val="007B7143"/>
    <w:rPr>
      <w:color w:val="0000FF"/>
      <w:u w:val="single"/>
    </w:rPr>
  </w:style>
  <w:style w:type="paragraph" w:styleId="Textonotapie">
    <w:name w:val="footnote text"/>
    <w:basedOn w:val="Normal"/>
    <w:link w:val="TextonotapieCar"/>
    <w:unhideWhenUsed/>
    <w:rsid w:val="009257C8"/>
    <w:rPr>
      <w:sz w:val="20"/>
      <w:szCs w:val="20"/>
    </w:rPr>
  </w:style>
  <w:style w:type="character" w:customStyle="1" w:styleId="TextonotapieCar">
    <w:name w:val="Texto nota pie Car"/>
    <w:link w:val="Textonotapie"/>
    <w:rsid w:val="009257C8"/>
    <w:rPr>
      <w:sz w:val="20"/>
      <w:szCs w:val="20"/>
      <w:lang w:val="es-ES" w:eastAsia="es-ES"/>
    </w:rPr>
  </w:style>
  <w:style w:type="character" w:styleId="Refdenotaalpie">
    <w:name w:val="footnote reference"/>
    <w:unhideWhenUsed/>
    <w:rsid w:val="009257C8"/>
    <w:rPr>
      <w:vertAlign w:val="superscript"/>
    </w:rPr>
  </w:style>
  <w:style w:type="paragraph" w:customStyle="1" w:styleId="parrafo">
    <w:name w:val="parrafo"/>
    <w:basedOn w:val="Normal"/>
    <w:rsid w:val="002A7019"/>
    <w:pPr>
      <w:spacing w:before="100" w:beforeAutospacing="1" w:after="100" w:afterAutospacing="1" w:line="240" w:lineRule="auto"/>
    </w:pPr>
    <w:rPr>
      <w:rFonts w:ascii="Times New Roman" w:hAnsi="Times New Roman"/>
      <w:sz w:val="24"/>
      <w:szCs w:val="24"/>
    </w:rPr>
  </w:style>
  <w:style w:type="paragraph" w:styleId="Textonotaalfinal">
    <w:name w:val="endnote text"/>
    <w:basedOn w:val="Normal"/>
    <w:link w:val="TextonotaalfinalCar"/>
    <w:uiPriority w:val="99"/>
    <w:semiHidden/>
    <w:unhideWhenUsed/>
    <w:rsid w:val="000A5009"/>
    <w:rPr>
      <w:sz w:val="20"/>
      <w:szCs w:val="20"/>
    </w:rPr>
  </w:style>
  <w:style w:type="character" w:customStyle="1" w:styleId="TextonotaalfinalCar">
    <w:name w:val="Texto nota al final Car"/>
    <w:basedOn w:val="Fuentedeprrafopredeter"/>
    <w:link w:val="Textonotaalfinal"/>
    <w:uiPriority w:val="99"/>
    <w:semiHidden/>
    <w:rsid w:val="000A5009"/>
  </w:style>
  <w:style w:type="character" w:styleId="Refdenotaalfinal">
    <w:name w:val="endnote reference"/>
    <w:uiPriority w:val="99"/>
    <w:semiHidden/>
    <w:unhideWhenUsed/>
    <w:rsid w:val="000A5009"/>
    <w:rPr>
      <w:vertAlign w:val="superscript"/>
    </w:rPr>
  </w:style>
  <w:style w:type="character" w:customStyle="1" w:styleId="outputecliaff">
    <w:name w:val="outputecliaff"/>
    <w:basedOn w:val="Fuentedeprrafopredeter"/>
    <w:rsid w:val="005521BB"/>
  </w:style>
  <w:style w:type="paragraph" w:customStyle="1" w:styleId="RDLETitoloparagrafo">
    <w:name w:val="RDLE Titolo paragrafo"/>
    <w:rsid w:val="00222A4C"/>
    <w:pPr>
      <w:keepNext/>
      <w:widowControl w:val="0"/>
      <w:tabs>
        <w:tab w:val="left" w:pos="426"/>
      </w:tabs>
      <w:jc w:val="both"/>
    </w:pPr>
    <w:rPr>
      <w:rFonts w:ascii="Garamond" w:eastAsia="Calibri" w:hAnsi="Garamond"/>
      <w:b/>
      <w:bCs/>
      <w:color w:val="C00000"/>
      <w:sz w:val="24"/>
      <w:lang w:val="es-ES" w:eastAsia="it-IT"/>
    </w:rPr>
  </w:style>
  <w:style w:type="character" w:styleId="Textoennegrita">
    <w:name w:val="Strong"/>
    <w:uiPriority w:val="22"/>
    <w:qFormat/>
    <w:locked/>
    <w:rsid w:val="002E5430"/>
    <w:rPr>
      <w:b/>
      <w:bCs/>
    </w:rPr>
  </w:style>
  <w:style w:type="character" w:customStyle="1" w:styleId="affairetitle">
    <w:name w:val="affaire_title"/>
    <w:basedOn w:val="Fuentedeprrafopredeter"/>
    <w:rsid w:val="002E5430"/>
  </w:style>
  <w:style w:type="character" w:customStyle="1" w:styleId="outputecli">
    <w:name w:val="outputecli"/>
    <w:basedOn w:val="Fuentedeprrafopredeter"/>
    <w:rsid w:val="002E5430"/>
  </w:style>
  <w:style w:type="paragraph" w:customStyle="1" w:styleId="c01pointnumerotealtn">
    <w:name w:val="c01pointnumerotealtn"/>
    <w:basedOn w:val="Normal"/>
    <w:rsid w:val="006C37CD"/>
    <w:pPr>
      <w:spacing w:before="100" w:beforeAutospacing="1" w:after="100" w:afterAutospacing="1" w:line="240" w:lineRule="auto"/>
    </w:pPr>
    <w:rPr>
      <w:rFonts w:ascii="Times New Roman" w:hAnsi="Times New Roman"/>
      <w:sz w:val="24"/>
      <w:szCs w:val="24"/>
      <w:lang w:val="ca-ES" w:eastAsia="ca-ES"/>
    </w:rPr>
  </w:style>
</w:styles>
</file>

<file path=word/webSettings.xml><?xml version="1.0" encoding="utf-8"?>
<w:webSettings xmlns:r="http://schemas.openxmlformats.org/officeDocument/2006/relationships" xmlns:w="http://schemas.openxmlformats.org/wordprocessingml/2006/main">
  <w:divs>
    <w:div w:id="28841673">
      <w:bodyDiv w:val="1"/>
      <w:marLeft w:val="0"/>
      <w:marRight w:val="0"/>
      <w:marTop w:val="0"/>
      <w:marBottom w:val="0"/>
      <w:divBdr>
        <w:top w:val="none" w:sz="0" w:space="0" w:color="auto"/>
        <w:left w:val="none" w:sz="0" w:space="0" w:color="auto"/>
        <w:bottom w:val="none" w:sz="0" w:space="0" w:color="auto"/>
        <w:right w:val="none" w:sz="0" w:space="0" w:color="auto"/>
      </w:divBdr>
    </w:div>
    <w:div w:id="88474786">
      <w:bodyDiv w:val="1"/>
      <w:marLeft w:val="0"/>
      <w:marRight w:val="0"/>
      <w:marTop w:val="0"/>
      <w:marBottom w:val="0"/>
      <w:divBdr>
        <w:top w:val="none" w:sz="0" w:space="0" w:color="auto"/>
        <w:left w:val="none" w:sz="0" w:space="0" w:color="auto"/>
        <w:bottom w:val="none" w:sz="0" w:space="0" w:color="auto"/>
        <w:right w:val="none" w:sz="0" w:space="0" w:color="auto"/>
      </w:divBdr>
      <w:divsChild>
        <w:div w:id="753865755">
          <w:marLeft w:val="0"/>
          <w:marRight w:val="0"/>
          <w:marTop w:val="0"/>
          <w:marBottom w:val="0"/>
          <w:divBdr>
            <w:top w:val="none" w:sz="0" w:space="0" w:color="auto"/>
            <w:left w:val="none" w:sz="0" w:space="0" w:color="auto"/>
            <w:bottom w:val="none" w:sz="0" w:space="0" w:color="auto"/>
            <w:right w:val="none" w:sz="0" w:space="0" w:color="auto"/>
          </w:divBdr>
        </w:div>
        <w:div w:id="1875069754">
          <w:marLeft w:val="0"/>
          <w:marRight w:val="0"/>
          <w:marTop w:val="0"/>
          <w:marBottom w:val="0"/>
          <w:divBdr>
            <w:top w:val="none" w:sz="0" w:space="0" w:color="auto"/>
            <w:left w:val="none" w:sz="0" w:space="0" w:color="auto"/>
            <w:bottom w:val="none" w:sz="0" w:space="0" w:color="auto"/>
            <w:right w:val="none" w:sz="0" w:space="0" w:color="auto"/>
          </w:divBdr>
        </w:div>
        <w:div w:id="494801514">
          <w:marLeft w:val="0"/>
          <w:marRight w:val="0"/>
          <w:marTop w:val="0"/>
          <w:marBottom w:val="0"/>
          <w:divBdr>
            <w:top w:val="none" w:sz="0" w:space="0" w:color="auto"/>
            <w:left w:val="none" w:sz="0" w:space="0" w:color="auto"/>
            <w:bottom w:val="none" w:sz="0" w:space="0" w:color="auto"/>
            <w:right w:val="none" w:sz="0" w:space="0" w:color="auto"/>
          </w:divBdr>
        </w:div>
      </w:divsChild>
    </w:div>
    <w:div w:id="102111167">
      <w:bodyDiv w:val="1"/>
      <w:marLeft w:val="0"/>
      <w:marRight w:val="0"/>
      <w:marTop w:val="0"/>
      <w:marBottom w:val="0"/>
      <w:divBdr>
        <w:top w:val="none" w:sz="0" w:space="0" w:color="auto"/>
        <w:left w:val="none" w:sz="0" w:space="0" w:color="auto"/>
        <w:bottom w:val="none" w:sz="0" w:space="0" w:color="auto"/>
        <w:right w:val="none" w:sz="0" w:space="0" w:color="auto"/>
      </w:divBdr>
      <w:divsChild>
        <w:div w:id="819035672">
          <w:marLeft w:val="0"/>
          <w:marRight w:val="0"/>
          <w:marTop w:val="0"/>
          <w:marBottom w:val="0"/>
          <w:divBdr>
            <w:top w:val="none" w:sz="0" w:space="0" w:color="auto"/>
            <w:left w:val="none" w:sz="0" w:space="0" w:color="auto"/>
            <w:bottom w:val="none" w:sz="0" w:space="0" w:color="auto"/>
            <w:right w:val="none" w:sz="0" w:space="0" w:color="auto"/>
          </w:divBdr>
          <w:divsChild>
            <w:div w:id="82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2427">
      <w:bodyDiv w:val="1"/>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
        <w:div w:id="846794033">
          <w:marLeft w:val="0"/>
          <w:marRight w:val="0"/>
          <w:marTop w:val="0"/>
          <w:marBottom w:val="0"/>
          <w:divBdr>
            <w:top w:val="none" w:sz="0" w:space="0" w:color="auto"/>
            <w:left w:val="none" w:sz="0" w:space="0" w:color="auto"/>
            <w:bottom w:val="none" w:sz="0" w:space="0" w:color="auto"/>
            <w:right w:val="none" w:sz="0" w:space="0" w:color="auto"/>
          </w:divBdr>
        </w:div>
        <w:div w:id="785848195">
          <w:marLeft w:val="0"/>
          <w:marRight w:val="0"/>
          <w:marTop w:val="0"/>
          <w:marBottom w:val="0"/>
          <w:divBdr>
            <w:top w:val="none" w:sz="0" w:space="0" w:color="auto"/>
            <w:left w:val="none" w:sz="0" w:space="0" w:color="auto"/>
            <w:bottom w:val="none" w:sz="0" w:space="0" w:color="auto"/>
            <w:right w:val="none" w:sz="0" w:space="0" w:color="auto"/>
          </w:divBdr>
        </w:div>
      </w:divsChild>
    </w:div>
    <w:div w:id="234750571">
      <w:bodyDiv w:val="1"/>
      <w:marLeft w:val="0"/>
      <w:marRight w:val="0"/>
      <w:marTop w:val="0"/>
      <w:marBottom w:val="0"/>
      <w:divBdr>
        <w:top w:val="none" w:sz="0" w:space="0" w:color="auto"/>
        <w:left w:val="none" w:sz="0" w:space="0" w:color="auto"/>
        <w:bottom w:val="none" w:sz="0" w:space="0" w:color="auto"/>
        <w:right w:val="none" w:sz="0" w:space="0" w:color="auto"/>
      </w:divBdr>
      <w:divsChild>
        <w:div w:id="1418554708">
          <w:marLeft w:val="0"/>
          <w:marRight w:val="0"/>
          <w:marTop w:val="0"/>
          <w:marBottom w:val="0"/>
          <w:divBdr>
            <w:top w:val="none" w:sz="0" w:space="0" w:color="auto"/>
            <w:left w:val="none" w:sz="0" w:space="0" w:color="auto"/>
            <w:bottom w:val="none" w:sz="0" w:space="0" w:color="auto"/>
            <w:right w:val="none" w:sz="0" w:space="0" w:color="auto"/>
          </w:divBdr>
        </w:div>
        <w:div w:id="1589536796">
          <w:marLeft w:val="0"/>
          <w:marRight w:val="0"/>
          <w:marTop w:val="0"/>
          <w:marBottom w:val="0"/>
          <w:divBdr>
            <w:top w:val="none" w:sz="0" w:space="0" w:color="auto"/>
            <w:left w:val="none" w:sz="0" w:space="0" w:color="auto"/>
            <w:bottom w:val="none" w:sz="0" w:space="0" w:color="auto"/>
            <w:right w:val="none" w:sz="0" w:space="0" w:color="auto"/>
          </w:divBdr>
        </w:div>
        <w:div w:id="372923360">
          <w:marLeft w:val="0"/>
          <w:marRight w:val="0"/>
          <w:marTop w:val="0"/>
          <w:marBottom w:val="0"/>
          <w:divBdr>
            <w:top w:val="none" w:sz="0" w:space="0" w:color="auto"/>
            <w:left w:val="none" w:sz="0" w:space="0" w:color="auto"/>
            <w:bottom w:val="none" w:sz="0" w:space="0" w:color="auto"/>
            <w:right w:val="none" w:sz="0" w:space="0" w:color="auto"/>
          </w:divBdr>
        </w:div>
        <w:div w:id="1388382061">
          <w:marLeft w:val="0"/>
          <w:marRight w:val="0"/>
          <w:marTop w:val="0"/>
          <w:marBottom w:val="0"/>
          <w:divBdr>
            <w:top w:val="none" w:sz="0" w:space="0" w:color="auto"/>
            <w:left w:val="none" w:sz="0" w:space="0" w:color="auto"/>
            <w:bottom w:val="none" w:sz="0" w:space="0" w:color="auto"/>
            <w:right w:val="none" w:sz="0" w:space="0" w:color="auto"/>
          </w:divBdr>
        </w:div>
        <w:div w:id="1850831927">
          <w:marLeft w:val="0"/>
          <w:marRight w:val="0"/>
          <w:marTop w:val="0"/>
          <w:marBottom w:val="0"/>
          <w:divBdr>
            <w:top w:val="none" w:sz="0" w:space="0" w:color="auto"/>
            <w:left w:val="none" w:sz="0" w:space="0" w:color="auto"/>
            <w:bottom w:val="none" w:sz="0" w:space="0" w:color="auto"/>
            <w:right w:val="none" w:sz="0" w:space="0" w:color="auto"/>
          </w:divBdr>
        </w:div>
      </w:divsChild>
    </w:div>
    <w:div w:id="301086204">
      <w:bodyDiv w:val="1"/>
      <w:marLeft w:val="0"/>
      <w:marRight w:val="0"/>
      <w:marTop w:val="0"/>
      <w:marBottom w:val="0"/>
      <w:divBdr>
        <w:top w:val="none" w:sz="0" w:space="0" w:color="auto"/>
        <w:left w:val="none" w:sz="0" w:space="0" w:color="auto"/>
        <w:bottom w:val="none" w:sz="0" w:space="0" w:color="auto"/>
        <w:right w:val="none" w:sz="0" w:space="0" w:color="auto"/>
      </w:divBdr>
      <w:divsChild>
        <w:div w:id="873427002">
          <w:marLeft w:val="0"/>
          <w:marRight w:val="0"/>
          <w:marTop w:val="0"/>
          <w:marBottom w:val="0"/>
          <w:divBdr>
            <w:top w:val="none" w:sz="0" w:space="0" w:color="auto"/>
            <w:left w:val="none" w:sz="0" w:space="0" w:color="auto"/>
            <w:bottom w:val="none" w:sz="0" w:space="0" w:color="auto"/>
            <w:right w:val="none" w:sz="0" w:space="0" w:color="auto"/>
          </w:divBdr>
        </w:div>
        <w:div w:id="56826582">
          <w:marLeft w:val="0"/>
          <w:marRight w:val="0"/>
          <w:marTop w:val="0"/>
          <w:marBottom w:val="0"/>
          <w:divBdr>
            <w:top w:val="none" w:sz="0" w:space="0" w:color="auto"/>
            <w:left w:val="none" w:sz="0" w:space="0" w:color="auto"/>
            <w:bottom w:val="none" w:sz="0" w:space="0" w:color="auto"/>
            <w:right w:val="none" w:sz="0" w:space="0" w:color="auto"/>
          </w:divBdr>
        </w:div>
      </w:divsChild>
    </w:div>
    <w:div w:id="355159130">
      <w:bodyDiv w:val="1"/>
      <w:marLeft w:val="0"/>
      <w:marRight w:val="0"/>
      <w:marTop w:val="0"/>
      <w:marBottom w:val="0"/>
      <w:divBdr>
        <w:top w:val="none" w:sz="0" w:space="0" w:color="auto"/>
        <w:left w:val="none" w:sz="0" w:space="0" w:color="auto"/>
        <w:bottom w:val="none" w:sz="0" w:space="0" w:color="auto"/>
        <w:right w:val="none" w:sz="0" w:space="0" w:color="auto"/>
      </w:divBdr>
      <w:divsChild>
        <w:div w:id="1426806098">
          <w:marLeft w:val="0"/>
          <w:marRight w:val="0"/>
          <w:marTop w:val="0"/>
          <w:marBottom w:val="0"/>
          <w:divBdr>
            <w:top w:val="none" w:sz="0" w:space="0" w:color="auto"/>
            <w:left w:val="none" w:sz="0" w:space="0" w:color="auto"/>
            <w:bottom w:val="none" w:sz="0" w:space="0" w:color="auto"/>
            <w:right w:val="none" w:sz="0" w:space="0" w:color="auto"/>
          </w:divBdr>
        </w:div>
        <w:div w:id="1206794975">
          <w:marLeft w:val="0"/>
          <w:marRight w:val="0"/>
          <w:marTop w:val="0"/>
          <w:marBottom w:val="0"/>
          <w:divBdr>
            <w:top w:val="none" w:sz="0" w:space="0" w:color="auto"/>
            <w:left w:val="none" w:sz="0" w:space="0" w:color="auto"/>
            <w:bottom w:val="none" w:sz="0" w:space="0" w:color="auto"/>
            <w:right w:val="none" w:sz="0" w:space="0" w:color="auto"/>
          </w:divBdr>
        </w:div>
      </w:divsChild>
    </w:div>
    <w:div w:id="380053171">
      <w:bodyDiv w:val="1"/>
      <w:marLeft w:val="0"/>
      <w:marRight w:val="0"/>
      <w:marTop w:val="0"/>
      <w:marBottom w:val="0"/>
      <w:divBdr>
        <w:top w:val="none" w:sz="0" w:space="0" w:color="auto"/>
        <w:left w:val="none" w:sz="0" w:space="0" w:color="auto"/>
        <w:bottom w:val="none" w:sz="0" w:space="0" w:color="auto"/>
        <w:right w:val="none" w:sz="0" w:space="0" w:color="auto"/>
      </w:divBdr>
      <w:divsChild>
        <w:div w:id="718892990">
          <w:marLeft w:val="0"/>
          <w:marRight w:val="0"/>
          <w:marTop w:val="0"/>
          <w:marBottom w:val="0"/>
          <w:divBdr>
            <w:top w:val="none" w:sz="0" w:space="0" w:color="auto"/>
            <w:left w:val="none" w:sz="0" w:space="0" w:color="auto"/>
            <w:bottom w:val="none" w:sz="0" w:space="0" w:color="auto"/>
            <w:right w:val="none" w:sz="0" w:space="0" w:color="auto"/>
          </w:divBdr>
        </w:div>
        <w:div w:id="1741754737">
          <w:marLeft w:val="0"/>
          <w:marRight w:val="0"/>
          <w:marTop w:val="0"/>
          <w:marBottom w:val="0"/>
          <w:divBdr>
            <w:top w:val="none" w:sz="0" w:space="0" w:color="auto"/>
            <w:left w:val="none" w:sz="0" w:space="0" w:color="auto"/>
            <w:bottom w:val="none" w:sz="0" w:space="0" w:color="auto"/>
            <w:right w:val="none" w:sz="0" w:space="0" w:color="auto"/>
          </w:divBdr>
        </w:div>
        <w:div w:id="579100766">
          <w:marLeft w:val="0"/>
          <w:marRight w:val="0"/>
          <w:marTop w:val="0"/>
          <w:marBottom w:val="0"/>
          <w:divBdr>
            <w:top w:val="none" w:sz="0" w:space="0" w:color="auto"/>
            <w:left w:val="none" w:sz="0" w:space="0" w:color="auto"/>
            <w:bottom w:val="none" w:sz="0" w:space="0" w:color="auto"/>
            <w:right w:val="none" w:sz="0" w:space="0" w:color="auto"/>
          </w:divBdr>
        </w:div>
      </w:divsChild>
    </w:div>
    <w:div w:id="380061388">
      <w:bodyDiv w:val="1"/>
      <w:marLeft w:val="0"/>
      <w:marRight w:val="0"/>
      <w:marTop w:val="0"/>
      <w:marBottom w:val="0"/>
      <w:divBdr>
        <w:top w:val="none" w:sz="0" w:space="0" w:color="auto"/>
        <w:left w:val="none" w:sz="0" w:space="0" w:color="auto"/>
        <w:bottom w:val="none" w:sz="0" w:space="0" w:color="auto"/>
        <w:right w:val="none" w:sz="0" w:space="0" w:color="auto"/>
      </w:divBdr>
      <w:divsChild>
        <w:div w:id="1262029017">
          <w:marLeft w:val="0"/>
          <w:marRight w:val="0"/>
          <w:marTop w:val="0"/>
          <w:marBottom w:val="0"/>
          <w:divBdr>
            <w:top w:val="none" w:sz="0" w:space="0" w:color="auto"/>
            <w:left w:val="none" w:sz="0" w:space="0" w:color="auto"/>
            <w:bottom w:val="none" w:sz="0" w:space="0" w:color="auto"/>
            <w:right w:val="none" w:sz="0" w:space="0" w:color="auto"/>
          </w:divBdr>
        </w:div>
        <w:div w:id="15080070">
          <w:marLeft w:val="0"/>
          <w:marRight w:val="0"/>
          <w:marTop w:val="0"/>
          <w:marBottom w:val="0"/>
          <w:divBdr>
            <w:top w:val="none" w:sz="0" w:space="0" w:color="auto"/>
            <w:left w:val="none" w:sz="0" w:space="0" w:color="auto"/>
            <w:bottom w:val="none" w:sz="0" w:space="0" w:color="auto"/>
            <w:right w:val="none" w:sz="0" w:space="0" w:color="auto"/>
          </w:divBdr>
        </w:div>
      </w:divsChild>
    </w:div>
    <w:div w:id="437531254">
      <w:bodyDiv w:val="1"/>
      <w:marLeft w:val="0"/>
      <w:marRight w:val="0"/>
      <w:marTop w:val="0"/>
      <w:marBottom w:val="0"/>
      <w:divBdr>
        <w:top w:val="none" w:sz="0" w:space="0" w:color="auto"/>
        <w:left w:val="none" w:sz="0" w:space="0" w:color="auto"/>
        <w:bottom w:val="none" w:sz="0" w:space="0" w:color="auto"/>
        <w:right w:val="none" w:sz="0" w:space="0" w:color="auto"/>
      </w:divBdr>
      <w:divsChild>
        <w:div w:id="1984308777">
          <w:marLeft w:val="0"/>
          <w:marRight w:val="0"/>
          <w:marTop w:val="0"/>
          <w:marBottom w:val="0"/>
          <w:divBdr>
            <w:top w:val="none" w:sz="0" w:space="0" w:color="auto"/>
            <w:left w:val="none" w:sz="0" w:space="0" w:color="auto"/>
            <w:bottom w:val="none" w:sz="0" w:space="0" w:color="auto"/>
            <w:right w:val="none" w:sz="0" w:space="0" w:color="auto"/>
          </w:divBdr>
        </w:div>
        <w:div w:id="44186982">
          <w:marLeft w:val="0"/>
          <w:marRight w:val="0"/>
          <w:marTop w:val="0"/>
          <w:marBottom w:val="0"/>
          <w:divBdr>
            <w:top w:val="none" w:sz="0" w:space="0" w:color="auto"/>
            <w:left w:val="none" w:sz="0" w:space="0" w:color="auto"/>
            <w:bottom w:val="none" w:sz="0" w:space="0" w:color="auto"/>
            <w:right w:val="none" w:sz="0" w:space="0" w:color="auto"/>
          </w:divBdr>
        </w:div>
      </w:divsChild>
    </w:div>
    <w:div w:id="468086129">
      <w:bodyDiv w:val="1"/>
      <w:marLeft w:val="0"/>
      <w:marRight w:val="0"/>
      <w:marTop w:val="0"/>
      <w:marBottom w:val="0"/>
      <w:divBdr>
        <w:top w:val="none" w:sz="0" w:space="0" w:color="auto"/>
        <w:left w:val="none" w:sz="0" w:space="0" w:color="auto"/>
        <w:bottom w:val="none" w:sz="0" w:space="0" w:color="auto"/>
        <w:right w:val="none" w:sz="0" w:space="0" w:color="auto"/>
      </w:divBdr>
      <w:divsChild>
        <w:div w:id="1358773279">
          <w:marLeft w:val="0"/>
          <w:marRight w:val="0"/>
          <w:marTop w:val="0"/>
          <w:marBottom w:val="0"/>
          <w:divBdr>
            <w:top w:val="none" w:sz="0" w:space="0" w:color="auto"/>
            <w:left w:val="none" w:sz="0" w:space="0" w:color="auto"/>
            <w:bottom w:val="none" w:sz="0" w:space="0" w:color="auto"/>
            <w:right w:val="none" w:sz="0" w:space="0" w:color="auto"/>
          </w:divBdr>
          <w:divsChild>
            <w:div w:id="1180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465">
      <w:bodyDiv w:val="1"/>
      <w:marLeft w:val="0"/>
      <w:marRight w:val="0"/>
      <w:marTop w:val="0"/>
      <w:marBottom w:val="0"/>
      <w:divBdr>
        <w:top w:val="none" w:sz="0" w:space="0" w:color="auto"/>
        <w:left w:val="none" w:sz="0" w:space="0" w:color="auto"/>
        <w:bottom w:val="none" w:sz="0" w:space="0" w:color="auto"/>
        <w:right w:val="none" w:sz="0" w:space="0" w:color="auto"/>
      </w:divBdr>
      <w:divsChild>
        <w:div w:id="1884366693">
          <w:marLeft w:val="0"/>
          <w:marRight w:val="0"/>
          <w:marTop w:val="0"/>
          <w:marBottom w:val="0"/>
          <w:divBdr>
            <w:top w:val="none" w:sz="0" w:space="0" w:color="auto"/>
            <w:left w:val="none" w:sz="0" w:space="0" w:color="auto"/>
            <w:bottom w:val="none" w:sz="0" w:space="0" w:color="auto"/>
            <w:right w:val="none" w:sz="0" w:space="0" w:color="auto"/>
          </w:divBdr>
        </w:div>
        <w:div w:id="1520587519">
          <w:marLeft w:val="0"/>
          <w:marRight w:val="0"/>
          <w:marTop w:val="0"/>
          <w:marBottom w:val="0"/>
          <w:divBdr>
            <w:top w:val="none" w:sz="0" w:space="0" w:color="auto"/>
            <w:left w:val="none" w:sz="0" w:space="0" w:color="auto"/>
            <w:bottom w:val="none" w:sz="0" w:space="0" w:color="auto"/>
            <w:right w:val="none" w:sz="0" w:space="0" w:color="auto"/>
          </w:divBdr>
        </w:div>
      </w:divsChild>
    </w:div>
    <w:div w:id="682434788">
      <w:bodyDiv w:val="1"/>
      <w:marLeft w:val="0"/>
      <w:marRight w:val="0"/>
      <w:marTop w:val="0"/>
      <w:marBottom w:val="0"/>
      <w:divBdr>
        <w:top w:val="none" w:sz="0" w:space="0" w:color="auto"/>
        <w:left w:val="none" w:sz="0" w:space="0" w:color="auto"/>
        <w:bottom w:val="none" w:sz="0" w:space="0" w:color="auto"/>
        <w:right w:val="none" w:sz="0" w:space="0" w:color="auto"/>
      </w:divBdr>
      <w:divsChild>
        <w:div w:id="859467247">
          <w:marLeft w:val="0"/>
          <w:marRight w:val="0"/>
          <w:marTop w:val="0"/>
          <w:marBottom w:val="0"/>
          <w:divBdr>
            <w:top w:val="none" w:sz="0" w:space="0" w:color="auto"/>
            <w:left w:val="none" w:sz="0" w:space="0" w:color="auto"/>
            <w:bottom w:val="none" w:sz="0" w:space="0" w:color="auto"/>
            <w:right w:val="none" w:sz="0" w:space="0" w:color="auto"/>
          </w:divBdr>
        </w:div>
        <w:div w:id="230580113">
          <w:marLeft w:val="0"/>
          <w:marRight w:val="0"/>
          <w:marTop w:val="0"/>
          <w:marBottom w:val="0"/>
          <w:divBdr>
            <w:top w:val="none" w:sz="0" w:space="0" w:color="auto"/>
            <w:left w:val="none" w:sz="0" w:space="0" w:color="auto"/>
            <w:bottom w:val="none" w:sz="0" w:space="0" w:color="auto"/>
            <w:right w:val="none" w:sz="0" w:space="0" w:color="auto"/>
          </w:divBdr>
        </w:div>
        <w:div w:id="1422333176">
          <w:marLeft w:val="0"/>
          <w:marRight w:val="0"/>
          <w:marTop w:val="0"/>
          <w:marBottom w:val="0"/>
          <w:divBdr>
            <w:top w:val="none" w:sz="0" w:space="0" w:color="auto"/>
            <w:left w:val="none" w:sz="0" w:space="0" w:color="auto"/>
            <w:bottom w:val="none" w:sz="0" w:space="0" w:color="auto"/>
            <w:right w:val="none" w:sz="0" w:space="0" w:color="auto"/>
          </w:divBdr>
        </w:div>
        <w:div w:id="2053924609">
          <w:marLeft w:val="0"/>
          <w:marRight w:val="0"/>
          <w:marTop w:val="0"/>
          <w:marBottom w:val="0"/>
          <w:divBdr>
            <w:top w:val="none" w:sz="0" w:space="0" w:color="auto"/>
            <w:left w:val="none" w:sz="0" w:space="0" w:color="auto"/>
            <w:bottom w:val="none" w:sz="0" w:space="0" w:color="auto"/>
            <w:right w:val="none" w:sz="0" w:space="0" w:color="auto"/>
          </w:divBdr>
        </w:div>
      </w:divsChild>
    </w:div>
    <w:div w:id="751850621">
      <w:bodyDiv w:val="1"/>
      <w:marLeft w:val="0"/>
      <w:marRight w:val="0"/>
      <w:marTop w:val="0"/>
      <w:marBottom w:val="0"/>
      <w:divBdr>
        <w:top w:val="none" w:sz="0" w:space="0" w:color="auto"/>
        <w:left w:val="none" w:sz="0" w:space="0" w:color="auto"/>
        <w:bottom w:val="none" w:sz="0" w:space="0" w:color="auto"/>
        <w:right w:val="none" w:sz="0" w:space="0" w:color="auto"/>
      </w:divBdr>
      <w:divsChild>
        <w:div w:id="1824928395">
          <w:marLeft w:val="0"/>
          <w:marRight w:val="0"/>
          <w:marTop w:val="0"/>
          <w:marBottom w:val="0"/>
          <w:divBdr>
            <w:top w:val="none" w:sz="0" w:space="0" w:color="auto"/>
            <w:left w:val="none" w:sz="0" w:space="0" w:color="auto"/>
            <w:bottom w:val="none" w:sz="0" w:space="0" w:color="auto"/>
            <w:right w:val="none" w:sz="0" w:space="0" w:color="auto"/>
          </w:divBdr>
        </w:div>
        <w:div w:id="151482845">
          <w:marLeft w:val="0"/>
          <w:marRight w:val="0"/>
          <w:marTop w:val="0"/>
          <w:marBottom w:val="0"/>
          <w:divBdr>
            <w:top w:val="none" w:sz="0" w:space="0" w:color="auto"/>
            <w:left w:val="none" w:sz="0" w:space="0" w:color="auto"/>
            <w:bottom w:val="none" w:sz="0" w:space="0" w:color="auto"/>
            <w:right w:val="none" w:sz="0" w:space="0" w:color="auto"/>
          </w:divBdr>
        </w:div>
        <w:div w:id="1572538713">
          <w:marLeft w:val="0"/>
          <w:marRight w:val="0"/>
          <w:marTop w:val="0"/>
          <w:marBottom w:val="0"/>
          <w:divBdr>
            <w:top w:val="none" w:sz="0" w:space="0" w:color="auto"/>
            <w:left w:val="none" w:sz="0" w:space="0" w:color="auto"/>
            <w:bottom w:val="none" w:sz="0" w:space="0" w:color="auto"/>
            <w:right w:val="none" w:sz="0" w:space="0" w:color="auto"/>
          </w:divBdr>
        </w:div>
        <w:div w:id="890578021">
          <w:marLeft w:val="0"/>
          <w:marRight w:val="0"/>
          <w:marTop w:val="0"/>
          <w:marBottom w:val="0"/>
          <w:divBdr>
            <w:top w:val="none" w:sz="0" w:space="0" w:color="auto"/>
            <w:left w:val="none" w:sz="0" w:space="0" w:color="auto"/>
            <w:bottom w:val="none" w:sz="0" w:space="0" w:color="auto"/>
            <w:right w:val="none" w:sz="0" w:space="0" w:color="auto"/>
          </w:divBdr>
        </w:div>
        <w:div w:id="1167018390">
          <w:marLeft w:val="0"/>
          <w:marRight w:val="0"/>
          <w:marTop w:val="0"/>
          <w:marBottom w:val="0"/>
          <w:divBdr>
            <w:top w:val="none" w:sz="0" w:space="0" w:color="auto"/>
            <w:left w:val="none" w:sz="0" w:space="0" w:color="auto"/>
            <w:bottom w:val="none" w:sz="0" w:space="0" w:color="auto"/>
            <w:right w:val="none" w:sz="0" w:space="0" w:color="auto"/>
          </w:divBdr>
        </w:div>
      </w:divsChild>
    </w:div>
    <w:div w:id="954017637">
      <w:bodyDiv w:val="1"/>
      <w:marLeft w:val="0"/>
      <w:marRight w:val="0"/>
      <w:marTop w:val="0"/>
      <w:marBottom w:val="0"/>
      <w:divBdr>
        <w:top w:val="none" w:sz="0" w:space="0" w:color="auto"/>
        <w:left w:val="none" w:sz="0" w:space="0" w:color="auto"/>
        <w:bottom w:val="none" w:sz="0" w:space="0" w:color="auto"/>
        <w:right w:val="none" w:sz="0" w:space="0" w:color="auto"/>
      </w:divBdr>
    </w:div>
    <w:div w:id="967709351">
      <w:bodyDiv w:val="1"/>
      <w:marLeft w:val="0"/>
      <w:marRight w:val="0"/>
      <w:marTop w:val="0"/>
      <w:marBottom w:val="0"/>
      <w:divBdr>
        <w:top w:val="none" w:sz="0" w:space="0" w:color="auto"/>
        <w:left w:val="none" w:sz="0" w:space="0" w:color="auto"/>
        <w:bottom w:val="none" w:sz="0" w:space="0" w:color="auto"/>
        <w:right w:val="none" w:sz="0" w:space="0" w:color="auto"/>
      </w:divBdr>
      <w:divsChild>
        <w:div w:id="1135949926">
          <w:marLeft w:val="0"/>
          <w:marRight w:val="0"/>
          <w:marTop w:val="0"/>
          <w:marBottom w:val="0"/>
          <w:divBdr>
            <w:top w:val="none" w:sz="0" w:space="0" w:color="auto"/>
            <w:left w:val="none" w:sz="0" w:space="0" w:color="auto"/>
            <w:bottom w:val="none" w:sz="0" w:space="0" w:color="auto"/>
            <w:right w:val="none" w:sz="0" w:space="0" w:color="auto"/>
          </w:divBdr>
        </w:div>
        <w:div w:id="761802216">
          <w:marLeft w:val="0"/>
          <w:marRight w:val="0"/>
          <w:marTop w:val="0"/>
          <w:marBottom w:val="0"/>
          <w:divBdr>
            <w:top w:val="none" w:sz="0" w:space="0" w:color="auto"/>
            <w:left w:val="none" w:sz="0" w:space="0" w:color="auto"/>
            <w:bottom w:val="none" w:sz="0" w:space="0" w:color="auto"/>
            <w:right w:val="none" w:sz="0" w:space="0" w:color="auto"/>
          </w:divBdr>
        </w:div>
      </w:divsChild>
    </w:div>
    <w:div w:id="980303302">
      <w:bodyDiv w:val="1"/>
      <w:marLeft w:val="0"/>
      <w:marRight w:val="0"/>
      <w:marTop w:val="0"/>
      <w:marBottom w:val="0"/>
      <w:divBdr>
        <w:top w:val="none" w:sz="0" w:space="0" w:color="auto"/>
        <w:left w:val="none" w:sz="0" w:space="0" w:color="auto"/>
        <w:bottom w:val="none" w:sz="0" w:space="0" w:color="auto"/>
        <w:right w:val="none" w:sz="0" w:space="0" w:color="auto"/>
      </w:divBdr>
      <w:divsChild>
        <w:div w:id="1896430312">
          <w:marLeft w:val="0"/>
          <w:marRight w:val="0"/>
          <w:marTop w:val="0"/>
          <w:marBottom w:val="0"/>
          <w:divBdr>
            <w:top w:val="none" w:sz="0" w:space="0" w:color="auto"/>
            <w:left w:val="none" w:sz="0" w:space="0" w:color="auto"/>
            <w:bottom w:val="none" w:sz="0" w:space="0" w:color="auto"/>
            <w:right w:val="none" w:sz="0" w:space="0" w:color="auto"/>
          </w:divBdr>
        </w:div>
        <w:div w:id="1856730044">
          <w:marLeft w:val="0"/>
          <w:marRight w:val="0"/>
          <w:marTop w:val="0"/>
          <w:marBottom w:val="0"/>
          <w:divBdr>
            <w:top w:val="none" w:sz="0" w:space="0" w:color="auto"/>
            <w:left w:val="none" w:sz="0" w:space="0" w:color="auto"/>
            <w:bottom w:val="none" w:sz="0" w:space="0" w:color="auto"/>
            <w:right w:val="none" w:sz="0" w:space="0" w:color="auto"/>
          </w:divBdr>
        </w:div>
        <w:div w:id="399670232">
          <w:marLeft w:val="0"/>
          <w:marRight w:val="0"/>
          <w:marTop w:val="0"/>
          <w:marBottom w:val="0"/>
          <w:divBdr>
            <w:top w:val="none" w:sz="0" w:space="0" w:color="auto"/>
            <w:left w:val="none" w:sz="0" w:space="0" w:color="auto"/>
            <w:bottom w:val="none" w:sz="0" w:space="0" w:color="auto"/>
            <w:right w:val="none" w:sz="0" w:space="0" w:color="auto"/>
          </w:divBdr>
        </w:div>
      </w:divsChild>
    </w:div>
    <w:div w:id="993725749">
      <w:bodyDiv w:val="1"/>
      <w:marLeft w:val="0"/>
      <w:marRight w:val="0"/>
      <w:marTop w:val="0"/>
      <w:marBottom w:val="0"/>
      <w:divBdr>
        <w:top w:val="none" w:sz="0" w:space="0" w:color="auto"/>
        <w:left w:val="none" w:sz="0" w:space="0" w:color="auto"/>
        <w:bottom w:val="none" w:sz="0" w:space="0" w:color="auto"/>
        <w:right w:val="none" w:sz="0" w:space="0" w:color="auto"/>
      </w:divBdr>
      <w:divsChild>
        <w:div w:id="173689246">
          <w:marLeft w:val="0"/>
          <w:marRight w:val="0"/>
          <w:marTop w:val="0"/>
          <w:marBottom w:val="0"/>
          <w:divBdr>
            <w:top w:val="none" w:sz="0" w:space="0" w:color="auto"/>
            <w:left w:val="none" w:sz="0" w:space="0" w:color="auto"/>
            <w:bottom w:val="none" w:sz="0" w:space="0" w:color="auto"/>
            <w:right w:val="none" w:sz="0" w:space="0" w:color="auto"/>
          </w:divBdr>
        </w:div>
        <w:div w:id="1479495539">
          <w:marLeft w:val="0"/>
          <w:marRight w:val="0"/>
          <w:marTop w:val="0"/>
          <w:marBottom w:val="0"/>
          <w:divBdr>
            <w:top w:val="none" w:sz="0" w:space="0" w:color="auto"/>
            <w:left w:val="none" w:sz="0" w:space="0" w:color="auto"/>
            <w:bottom w:val="none" w:sz="0" w:space="0" w:color="auto"/>
            <w:right w:val="none" w:sz="0" w:space="0" w:color="auto"/>
          </w:divBdr>
        </w:div>
        <w:div w:id="395664498">
          <w:marLeft w:val="0"/>
          <w:marRight w:val="0"/>
          <w:marTop w:val="0"/>
          <w:marBottom w:val="0"/>
          <w:divBdr>
            <w:top w:val="none" w:sz="0" w:space="0" w:color="auto"/>
            <w:left w:val="none" w:sz="0" w:space="0" w:color="auto"/>
            <w:bottom w:val="none" w:sz="0" w:space="0" w:color="auto"/>
            <w:right w:val="none" w:sz="0" w:space="0" w:color="auto"/>
          </w:divBdr>
        </w:div>
        <w:div w:id="678043715">
          <w:marLeft w:val="0"/>
          <w:marRight w:val="0"/>
          <w:marTop w:val="0"/>
          <w:marBottom w:val="0"/>
          <w:divBdr>
            <w:top w:val="none" w:sz="0" w:space="0" w:color="auto"/>
            <w:left w:val="none" w:sz="0" w:space="0" w:color="auto"/>
            <w:bottom w:val="none" w:sz="0" w:space="0" w:color="auto"/>
            <w:right w:val="none" w:sz="0" w:space="0" w:color="auto"/>
          </w:divBdr>
        </w:div>
        <w:div w:id="1223247772">
          <w:marLeft w:val="0"/>
          <w:marRight w:val="0"/>
          <w:marTop w:val="0"/>
          <w:marBottom w:val="0"/>
          <w:divBdr>
            <w:top w:val="none" w:sz="0" w:space="0" w:color="auto"/>
            <w:left w:val="none" w:sz="0" w:space="0" w:color="auto"/>
            <w:bottom w:val="none" w:sz="0" w:space="0" w:color="auto"/>
            <w:right w:val="none" w:sz="0" w:space="0" w:color="auto"/>
          </w:divBdr>
        </w:div>
        <w:div w:id="913126345">
          <w:marLeft w:val="0"/>
          <w:marRight w:val="0"/>
          <w:marTop w:val="0"/>
          <w:marBottom w:val="0"/>
          <w:divBdr>
            <w:top w:val="none" w:sz="0" w:space="0" w:color="auto"/>
            <w:left w:val="none" w:sz="0" w:space="0" w:color="auto"/>
            <w:bottom w:val="none" w:sz="0" w:space="0" w:color="auto"/>
            <w:right w:val="none" w:sz="0" w:space="0" w:color="auto"/>
          </w:divBdr>
        </w:div>
        <w:div w:id="959452872">
          <w:marLeft w:val="0"/>
          <w:marRight w:val="0"/>
          <w:marTop w:val="0"/>
          <w:marBottom w:val="0"/>
          <w:divBdr>
            <w:top w:val="none" w:sz="0" w:space="0" w:color="auto"/>
            <w:left w:val="none" w:sz="0" w:space="0" w:color="auto"/>
            <w:bottom w:val="none" w:sz="0" w:space="0" w:color="auto"/>
            <w:right w:val="none" w:sz="0" w:space="0" w:color="auto"/>
          </w:divBdr>
        </w:div>
        <w:div w:id="2099209054">
          <w:marLeft w:val="0"/>
          <w:marRight w:val="0"/>
          <w:marTop w:val="0"/>
          <w:marBottom w:val="0"/>
          <w:divBdr>
            <w:top w:val="none" w:sz="0" w:space="0" w:color="auto"/>
            <w:left w:val="none" w:sz="0" w:space="0" w:color="auto"/>
            <w:bottom w:val="none" w:sz="0" w:space="0" w:color="auto"/>
            <w:right w:val="none" w:sz="0" w:space="0" w:color="auto"/>
          </w:divBdr>
        </w:div>
      </w:divsChild>
    </w:div>
    <w:div w:id="1009792542">
      <w:bodyDiv w:val="1"/>
      <w:marLeft w:val="0"/>
      <w:marRight w:val="0"/>
      <w:marTop w:val="0"/>
      <w:marBottom w:val="0"/>
      <w:divBdr>
        <w:top w:val="none" w:sz="0" w:space="0" w:color="auto"/>
        <w:left w:val="none" w:sz="0" w:space="0" w:color="auto"/>
        <w:bottom w:val="none" w:sz="0" w:space="0" w:color="auto"/>
        <w:right w:val="none" w:sz="0" w:space="0" w:color="auto"/>
      </w:divBdr>
    </w:div>
    <w:div w:id="1112893368">
      <w:bodyDiv w:val="1"/>
      <w:marLeft w:val="0"/>
      <w:marRight w:val="0"/>
      <w:marTop w:val="0"/>
      <w:marBottom w:val="0"/>
      <w:divBdr>
        <w:top w:val="none" w:sz="0" w:space="0" w:color="auto"/>
        <w:left w:val="none" w:sz="0" w:space="0" w:color="auto"/>
        <w:bottom w:val="none" w:sz="0" w:space="0" w:color="auto"/>
        <w:right w:val="none" w:sz="0" w:space="0" w:color="auto"/>
      </w:divBdr>
    </w:div>
    <w:div w:id="1161041906">
      <w:bodyDiv w:val="1"/>
      <w:marLeft w:val="0"/>
      <w:marRight w:val="0"/>
      <w:marTop w:val="0"/>
      <w:marBottom w:val="0"/>
      <w:divBdr>
        <w:top w:val="none" w:sz="0" w:space="0" w:color="auto"/>
        <w:left w:val="none" w:sz="0" w:space="0" w:color="auto"/>
        <w:bottom w:val="none" w:sz="0" w:space="0" w:color="auto"/>
        <w:right w:val="none" w:sz="0" w:space="0" w:color="auto"/>
      </w:divBdr>
      <w:divsChild>
        <w:div w:id="294725136">
          <w:marLeft w:val="0"/>
          <w:marRight w:val="0"/>
          <w:marTop w:val="0"/>
          <w:marBottom w:val="0"/>
          <w:divBdr>
            <w:top w:val="none" w:sz="0" w:space="0" w:color="auto"/>
            <w:left w:val="none" w:sz="0" w:space="0" w:color="auto"/>
            <w:bottom w:val="none" w:sz="0" w:space="0" w:color="auto"/>
            <w:right w:val="none" w:sz="0" w:space="0" w:color="auto"/>
          </w:divBdr>
        </w:div>
        <w:div w:id="1250888386">
          <w:marLeft w:val="0"/>
          <w:marRight w:val="0"/>
          <w:marTop w:val="0"/>
          <w:marBottom w:val="0"/>
          <w:divBdr>
            <w:top w:val="none" w:sz="0" w:space="0" w:color="auto"/>
            <w:left w:val="none" w:sz="0" w:space="0" w:color="auto"/>
            <w:bottom w:val="none" w:sz="0" w:space="0" w:color="auto"/>
            <w:right w:val="none" w:sz="0" w:space="0" w:color="auto"/>
          </w:divBdr>
        </w:div>
      </w:divsChild>
    </w:div>
    <w:div w:id="1175922604">
      <w:bodyDiv w:val="1"/>
      <w:marLeft w:val="0"/>
      <w:marRight w:val="0"/>
      <w:marTop w:val="0"/>
      <w:marBottom w:val="0"/>
      <w:divBdr>
        <w:top w:val="none" w:sz="0" w:space="0" w:color="auto"/>
        <w:left w:val="none" w:sz="0" w:space="0" w:color="auto"/>
        <w:bottom w:val="none" w:sz="0" w:space="0" w:color="auto"/>
        <w:right w:val="none" w:sz="0" w:space="0" w:color="auto"/>
      </w:divBdr>
      <w:divsChild>
        <w:div w:id="1103495485">
          <w:marLeft w:val="0"/>
          <w:marRight w:val="0"/>
          <w:marTop w:val="0"/>
          <w:marBottom w:val="0"/>
          <w:divBdr>
            <w:top w:val="none" w:sz="0" w:space="0" w:color="auto"/>
            <w:left w:val="none" w:sz="0" w:space="0" w:color="auto"/>
            <w:bottom w:val="none" w:sz="0" w:space="0" w:color="auto"/>
            <w:right w:val="none" w:sz="0" w:space="0" w:color="auto"/>
          </w:divBdr>
        </w:div>
        <w:div w:id="445199807">
          <w:marLeft w:val="0"/>
          <w:marRight w:val="0"/>
          <w:marTop w:val="0"/>
          <w:marBottom w:val="0"/>
          <w:divBdr>
            <w:top w:val="none" w:sz="0" w:space="0" w:color="auto"/>
            <w:left w:val="none" w:sz="0" w:space="0" w:color="auto"/>
            <w:bottom w:val="none" w:sz="0" w:space="0" w:color="auto"/>
            <w:right w:val="none" w:sz="0" w:space="0" w:color="auto"/>
          </w:divBdr>
        </w:div>
        <w:div w:id="1802846064">
          <w:marLeft w:val="0"/>
          <w:marRight w:val="0"/>
          <w:marTop w:val="0"/>
          <w:marBottom w:val="0"/>
          <w:divBdr>
            <w:top w:val="none" w:sz="0" w:space="0" w:color="auto"/>
            <w:left w:val="none" w:sz="0" w:space="0" w:color="auto"/>
            <w:bottom w:val="none" w:sz="0" w:space="0" w:color="auto"/>
            <w:right w:val="none" w:sz="0" w:space="0" w:color="auto"/>
          </w:divBdr>
        </w:div>
      </w:divsChild>
    </w:div>
    <w:div w:id="1238975883">
      <w:bodyDiv w:val="1"/>
      <w:marLeft w:val="0"/>
      <w:marRight w:val="0"/>
      <w:marTop w:val="0"/>
      <w:marBottom w:val="0"/>
      <w:divBdr>
        <w:top w:val="none" w:sz="0" w:space="0" w:color="auto"/>
        <w:left w:val="none" w:sz="0" w:space="0" w:color="auto"/>
        <w:bottom w:val="none" w:sz="0" w:space="0" w:color="auto"/>
        <w:right w:val="none" w:sz="0" w:space="0" w:color="auto"/>
      </w:divBdr>
      <w:divsChild>
        <w:div w:id="1552959823">
          <w:marLeft w:val="0"/>
          <w:marRight w:val="0"/>
          <w:marTop w:val="0"/>
          <w:marBottom w:val="0"/>
          <w:divBdr>
            <w:top w:val="none" w:sz="0" w:space="0" w:color="auto"/>
            <w:left w:val="none" w:sz="0" w:space="0" w:color="auto"/>
            <w:bottom w:val="none" w:sz="0" w:space="0" w:color="auto"/>
            <w:right w:val="none" w:sz="0" w:space="0" w:color="auto"/>
          </w:divBdr>
        </w:div>
        <w:div w:id="2056923292">
          <w:marLeft w:val="0"/>
          <w:marRight w:val="0"/>
          <w:marTop w:val="0"/>
          <w:marBottom w:val="0"/>
          <w:divBdr>
            <w:top w:val="none" w:sz="0" w:space="0" w:color="auto"/>
            <w:left w:val="none" w:sz="0" w:space="0" w:color="auto"/>
            <w:bottom w:val="none" w:sz="0" w:space="0" w:color="auto"/>
            <w:right w:val="none" w:sz="0" w:space="0" w:color="auto"/>
          </w:divBdr>
        </w:div>
        <w:div w:id="1807232625">
          <w:marLeft w:val="0"/>
          <w:marRight w:val="0"/>
          <w:marTop w:val="0"/>
          <w:marBottom w:val="0"/>
          <w:divBdr>
            <w:top w:val="none" w:sz="0" w:space="0" w:color="auto"/>
            <w:left w:val="none" w:sz="0" w:space="0" w:color="auto"/>
            <w:bottom w:val="none" w:sz="0" w:space="0" w:color="auto"/>
            <w:right w:val="none" w:sz="0" w:space="0" w:color="auto"/>
          </w:divBdr>
        </w:div>
        <w:div w:id="1297294010">
          <w:marLeft w:val="0"/>
          <w:marRight w:val="0"/>
          <w:marTop w:val="0"/>
          <w:marBottom w:val="0"/>
          <w:divBdr>
            <w:top w:val="none" w:sz="0" w:space="0" w:color="auto"/>
            <w:left w:val="none" w:sz="0" w:space="0" w:color="auto"/>
            <w:bottom w:val="none" w:sz="0" w:space="0" w:color="auto"/>
            <w:right w:val="none" w:sz="0" w:space="0" w:color="auto"/>
          </w:divBdr>
        </w:div>
        <w:div w:id="1577593130">
          <w:marLeft w:val="0"/>
          <w:marRight w:val="0"/>
          <w:marTop w:val="0"/>
          <w:marBottom w:val="0"/>
          <w:divBdr>
            <w:top w:val="none" w:sz="0" w:space="0" w:color="auto"/>
            <w:left w:val="none" w:sz="0" w:space="0" w:color="auto"/>
            <w:bottom w:val="none" w:sz="0" w:space="0" w:color="auto"/>
            <w:right w:val="none" w:sz="0" w:space="0" w:color="auto"/>
          </w:divBdr>
        </w:div>
        <w:div w:id="971515667">
          <w:marLeft w:val="0"/>
          <w:marRight w:val="0"/>
          <w:marTop w:val="0"/>
          <w:marBottom w:val="0"/>
          <w:divBdr>
            <w:top w:val="none" w:sz="0" w:space="0" w:color="auto"/>
            <w:left w:val="none" w:sz="0" w:space="0" w:color="auto"/>
            <w:bottom w:val="none" w:sz="0" w:space="0" w:color="auto"/>
            <w:right w:val="none" w:sz="0" w:space="0" w:color="auto"/>
          </w:divBdr>
        </w:div>
        <w:div w:id="569968203">
          <w:marLeft w:val="0"/>
          <w:marRight w:val="0"/>
          <w:marTop w:val="0"/>
          <w:marBottom w:val="0"/>
          <w:divBdr>
            <w:top w:val="none" w:sz="0" w:space="0" w:color="auto"/>
            <w:left w:val="none" w:sz="0" w:space="0" w:color="auto"/>
            <w:bottom w:val="none" w:sz="0" w:space="0" w:color="auto"/>
            <w:right w:val="none" w:sz="0" w:space="0" w:color="auto"/>
          </w:divBdr>
        </w:div>
        <w:div w:id="2142650466">
          <w:marLeft w:val="0"/>
          <w:marRight w:val="0"/>
          <w:marTop w:val="0"/>
          <w:marBottom w:val="0"/>
          <w:divBdr>
            <w:top w:val="none" w:sz="0" w:space="0" w:color="auto"/>
            <w:left w:val="none" w:sz="0" w:space="0" w:color="auto"/>
            <w:bottom w:val="none" w:sz="0" w:space="0" w:color="auto"/>
            <w:right w:val="none" w:sz="0" w:space="0" w:color="auto"/>
          </w:divBdr>
        </w:div>
        <w:div w:id="456607175">
          <w:marLeft w:val="0"/>
          <w:marRight w:val="0"/>
          <w:marTop w:val="0"/>
          <w:marBottom w:val="0"/>
          <w:divBdr>
            <w:top w:val="none" w:sz="0" w:space="0" w:color="auto"/>
            <w:left w:val="none" w:sz="0" w:space="0" w:color="auto"/>
            <w:bottom w:val="none" w:sz="0" w:space="0" w:color="auto"/>
            <w:right w:val="none" w:sz="0" w:space="0" w:color="auto"/>
          </w:divBdr>
        </w:div>
        <w:div w:id="7221624">
          <w:marLeft w:val="0"/>
          <w:marRight w:val="0"/>
          <w:marTop w:val="0"/>
          <w:marBottom w:val="0"/>
          <w:divBdr>
            <w:top w:val="none" w:sz="0" w:space="0" w:color="auto"/>
            <w:left w:val="none" w:sz="0" w:space="0" w:color="auto"/>
            <w:bottom w:val="none" w:sz="0" w:space="0" w:color="auto"/>
            <w:right w:val="none" w:sz="0" w:space="0" w:color="auto"/>
          </w:divBdr>
        </w:div>
        <w:div w:id="1344236329">
          <w:marLeft w:val="0"/>
          <w:marRight w:val="0"/>
          <w:marTop w:val="0"/>
          <w:marBottom w:val="0"/>
          <w:divBdr>
            <w:top w:val="none" w:sz="0" w:space="0" w:color="auto"/>
            <w:left w:val="none" w:sz="0" w:space="0" w:color="auto"/>
            <w:bottom w:val="none" w:sz="0" w:space="0" w:color="auto"/>
            <w:right w:val="none" w:sz="0" w:space="0" w:color="auto"/>
          </w:divBdr>
        </w:div>
        <w:div w:id="824509787">
          <w:marLeft w:val="0"/>
          <w:marRight w:val="0"/>
          <w:marTop w:val="0"/>
          <w:marBottom w:val="0"/>
          <w:divBdr>
            <w:top w:val="none" w:sz="0" w:space="0" w:color="auto"/>
            <w:left w:val="none" w:sz="0" w:space="0" w:color="auto"/>
            <w:bottom w:val="none" w:sz="0" w:space="0" w:color="auto"/>
            <w:right w:val="none" w:sz="0" w:space="0" w:color="auto"/>
          </w:divBdr>
        </w:div>
        <w:div w:id="1932398430">
          <w:marLeft w:val="0"/>
          <w:marRight w:val="0"/>
          <w:marTop w:val="0"/>
          <w:marBottom w:val="0"/>
          <w:divBdr>
            <w:top w:val="none" w:sz="0" w:space="0" w:color="auto"/>
            <w:left w:val="none" w:sz="0" w:space="0" w:color="auto"/>
            <w:bottom w:val="none" w:sz="0" w:space="0" w:color="auto"/>
            <w:right w:val="none" w:sz="0" w:space="0" w:color="auto"/>
          </w:divBdr>
        </w:div>
        <w:div w:id="502935723">
          <w:marLeft w:val="0"/>
          <w:marRight w:val="0"/>
          <w:marTop w:val="0"/>
          <w:marBottom w:val="0"/>
          <w:divBdr>
            <w:top w:val="none" w:sz="0" w:space="0" w:color="auto"/>
            <w:left w:val="none" w:sz="0" w:space="0" w:color="auto"/>
            <w:bottom w:val="none" w:sz="0" w:space="0" w:color="auto"/>
            <w:right w:val="none" w:sz="0" w:space="0" w:color="auto"/>
          </w:divBdr>
        </w:div>
        <w:div w:id="333532231">
          <w:marLeft w:val="0"/>
          <w:marRight w:val="0"/>
          <w:marTop w:val="0"/>
          <w:marBottom w:val="0"/>
          <w:divBdr>
            <w:top w:val="none" w:sz="0" w:space="0" w:color="auto"/>
            <w:left w:val="none" w:sz="0" w:space="0" w:color="auto"/>
            <w:bottom w:val="none" w:sz="0" w:space="0" w:color="auto"/>
            <w:right w:val="none" w:sz="0" w:space="0" w:color="auto"/>
          </w:divBdr>
        </w:div>
        <w:div w:id="1453982795">
          <w:marLeft w:val="0"/>
          <w:marRight w:val="0"/>
          <w:marTop w:val="0"/>
          <w:marBottom w:val="0"/>
          <w:divBdr>
            <w:top w:val="none" w:sz="0" w:space="0" w:color="auto"/>
            <w:left w:val="none" w:sz="0" w:space="0" w:color="auto"/>
            <w:bottom w:val="none" w:sz="0" w:space="0" w:color="auto"/>
            <w:right w:val="none" w:sz="0" w:space="0" w:color="auto"/>
          </w:divBdr>
        </w:div>
        <w:div w:id="1248807932">
          <w:marLeft w:val="0"/>
          <w:marRight w:val="0"/>
          <w:marTop w:val="0"/>
          <w:marBottom w:val="0"/>
          <w:divBdr>
            <w:top w:val="none" w:sz="0" w:space="0" w:color="auto"/>
            <w:left w:val="none" w:sz="0" w:space="0" w:color="auto"/>
            <w:bottom w:val="none" w:sz="0" w:space="0" w:color="auto"/>
            <w:right w:val="none" w:sz="0" w:space="0" w:color="auto"/>
          </w:divBdr>
        </w:div>
        <w:div w:id="757561639">
          <w:marLeft w:val="0"/>
          <w:marRight w:val="0"/>
          <w:marTop w:val="0"/>
          <w:marBottom w:val="0"/>
          <w:divBdr>
            <w:top w:val="none" w:sz="0" w:space="0" w:color="auto"/>
            <w:left w:val="none" w:sz="0" w:space="0" w:color="auto"/>
            <w:bottom w:val="none" w:sz="0" w:space="0" w:color="auto"/>
            <w:right w:val="none" w:sz="0" w:space="0" w:color="auto"/>
          </w:divBdr>
        </w:div>
        <w:div w:id="198130816">
          <w:marLeft w:val="0"/>
          <w:marRight w:val="0"/>
          <w:marTop w:val="0"/>
          <w:marBottom w:val="0"/>
          <w:divBdr>
            <w:top w:val="none" w:sz="0" w:space="0" w:color="auto"/>
            <w:left w:val="none" w:sz="0" w:space="0" w:color="auto"/>
            <w:bottom w:val="none" w:sz="0" w:space="0" w:color="auto"/>
            <w:right w:val="none" w:sz="0" w:space="0" w:color="auto"/>
          </w:divBdr>
        </w:div>
        <w:div w:id="203174949">
          <w:marLeft w:val="0"/>
          <w:marRight w:val="0"/>
          <w:marTop w:val="0"/>
          <w:marBottom w:val="0"/>
          <w:divBdr>
            <w:top w:val="none" w:sz="0" w:space="0" w:color="auto"/>
            <w:left w:val="none" w:sz="0" w:space="0" w:color="auto"/>
            <w:bottom w:val="none" w:sz="0" w:space="0" w:color="auto"/>
            <w:right w:val="none" w:sz="0" w:space="0" w:color="auto"/>
          </w:divBdr>
        </w:div>
        <w:div w:id="161287729">
          <w:marLeft w:val="0"/>
          <w:marRight w:val="0"/>
          <w:marTop w:val="0"/>
          <w:marBottom w:val="0"/>
          <w:divBdr>
            <w:top w:val="none" w:sz="0" w:space="0" w:color="auto"/>
            <w:left w:val="none" w:sz="0" w:space="0" w:color="auto"/>
            <w:bottom w:val="none" w:sz="0" w:space="0" w:color="auto"/>
            <w:right w:val="none" w:sz="0" w:space="0" w:color="auto"/>
          </w:divBdr>
        </w:div>
        <w:div w:id="198321936">
          <w:marLeft w:val="0"/>
          <w:marRight w:val="0"/>
          <w:marTop w:val="0"/>
          <w:marBottom w:val="0"/>
          <w:divBdr>
            <w:top w:val="none" w:sz="0" w:space="0" w:color="auto"/>
            <w:left w:val="none" w:sz="0" w:space="0" w:color="auto"/>
            <w:bottom w:val="none" w:sz="0" w:space="0" w:color="auto"/>
            <w:right w:val="none" w:sz="0" w:space="0" w:color="auto"/>
          </w:divBdr>
        </w:div>
        <w:div w:id="445735924">
          <w:marLeft w:val="0"/>
          <w:marRight w:val="0"/>
          <w:marTop w:val="0"/>
          <w:marBottom w:val="0"/>
          <w:divBdr>
            <w:top w:val="none" w:sz="0" w:space="0" w:color="auto"/>
            <w:left w:val="none" w:sz="0" w:space="0" w:color="auto"/>
            <w:bottom w:val="none" w:sz="0" w:space="0" w:color="auto"/>
            <w:right w:val="none" w:sz="0" w:space="0" w:color="auto"/>
          </w:divBdr>
        </w:div>
        <w:div w:id="855584506">
          <w:marLeft w:val="0"/>
          <w:marRight w:val="0"/>
          <w:marTop w:val="0"/>
          <w:marBottom w:val="0"/>
          <w:divBdr>
            <w:top w:val="none" w:sz="0" w:space="0" w:color="auto"/>
            <w:left w:val="none" w:sz="0" w:space="0" w:color="auto"/>
            <w:bottom w:val="none" w:sz="0" w:space="0" w:color="auto"/>
            <w:right w:val="none" w:sz="0" w:space="0" w:color="auto"/>
          </w:divBdr>
        </w:div>
        <w:div w:id="1286739617">
          <w:marLeft w:val="0"/>
          <w:marRight w:val="0"/>
          <w:marTop w:val="0"/>
          <w:marBottom w:val="0"/>
          <w:divBdr>
            <w:top w:val="none" w:sz="0" w:space="0" w:color="auto"/>
            <w:left w:val="none" w:sz="0" w:space="0" w:color="auto"/>
            <w:bottom w:val="none" w:sz="0" w:space="0" w:color="auto"/>
            <w:right w:val="none" w:sz="0" w:space="0" w:color="auto"/>
          </w:divBdr>
        </w:div>
        <w:div w:id="703405749">
          <w:marLeft w:val="0"/>
          <w:marRight w:val="0"/>
          <w:marTop w:val="0"/>
          <w:marBottom w:val="0"/>
          <w:divBdr>
            <w:top w:val="none" w:sz="0" w:space="0" w:color="auto"/>
            <w:left w:val="none" w:sz="0" w:space="0" w:color="auto"/>
            <w:bottom w:val="none" w:sz="0" w:space="0" w:color="auto"/>
            <w:right w:val="none" w:sz="0" w:space="0" w:color="auto"/>
          </w:divBdr>
        </w:div>
        <w:div w:id="451438544">
          <w:marLeft w:val="0"/>
          <w:marRight w:val="0"/>
          <w:marTop w:val="0"/>
          <w:marBottom w:val="0"/>
          <w:divBdr>
            <w:top w:val="none" w:sz="0" w:space="0" w:color="auto"/>
            <w:left w:val="none" w:sz="0" w:space="0" w:color="auto"/>
            <w:bottom w:val="none" w:sz="0" w:space="0" w:color="auto"/>
            <w:right w:val="none" w:sz="0" w:space="0" w:color="auto"/>
          </w:divBdr>
        </w:div>
        <w:div w:id="979960000">
          <w:marLeft w:val="0"/>
          <w:marRight w:val="0"/>
          <w:marTop w:val="0"/>
          <w:marBottom w:val="0"/>
          <w:divBdr>
            <w:top w:val="none" w:sz="0" w:space="0" w:color="auto"/>
            <w:left w:val="none" w:sz="0" w:space="0" w:color="auto"/>
            <w:bottom w:val="none" w:sz="0" w:space="0" w:color="auto"/>
            <w:right w:val="none" w:sz="0" w:space="0" w:color="auto"/>
          </w:divBdr>
        </w:div>
        <w:div w:id="1454522822">
          <w:marLeft w:val="0"/>
          <w:marRight w:val="0"/>
          <w:marTop w:val="0"/>
          <w:marBottom w:val="0"/>
          <w:divBdr>
            <w:top w:val="none" w:sz="0" w:space="0" w:color="auto"/>
            <w:left w:val="none" w:sz="0" w:space="0" w:color="auto"/>
            <w:bottom w:val="none" w:sz="0" w:space="0" w:color="auto"/>
            <w:right w:val="none" w:sz="0" w:space="0" w:color="auto"/>
          </w:divBdr>
        </w:div>
        <w:div w:id="1635913805">
          <w:marLeft w:val="0"/>
          <w:marRight w:val="0"/>
          <w:marTop w:val="0"/>
          <w:marBottom w:val="0"/>
          <w:divBdr>
            <w:top w:val="none" w:sz="0" w:space="0" w:color="auto"/>
            <w:left w:val="none" w:sz="0" w:space="0" w:color="auto"/>
            <w:bottom w:val="none" w:sz="0" w:space="0" w:color="auto"/>
            <w:right w:val="none" w:sz="0" w:space="0" w:color="auto"/>
          </w:divBdr>
        </w:div>
        <w:div w:id="1913348023">
          <w:marLeft w:val="0"/>
          <w:marRight w:val="0"/>
          <w:marTop w:val="0"/>
          <w:marBottom w:val="0"/>
          <w:divBdr>
            <w:top w:val="none" w:sz="0" w:space="0" w:color="auto"/>
            <w:left w:val="none" w:sz="0" w:space="0" w:color="auto"/>
            <w:bottom w:val="none" w:sz="0" w:space="0" w:color="auto"/>
            <w:right w:val="none" w:sz="0" w:space="0" w:color="auto"/>
          </w:divBdr>
        </w:div>
        <w:div w:id="451873327">
          <w:marLeft w:val="0"/>
          <w:marRight w:val="0"/>
          <w:marTop w:val="0"/>
          <w:marBottom w:val="0"/>
          <w:divBdr>
            <w:top w:val="none" w:sz="0" w:space="0" w:color="auto"/>
            <w:left w:val="none" w:sz="0" w:space="0" w:color="auto"/>
            <w:bottom w:val="none" w:sz="0" w:space="0" w:color="auto"/>
            <w:right w:val="none" w:sz="0" w:space="0" w:color="auto"/>
          </w:divBdr>
        </w:div>
        <w:div w:id="672759172">
          <w:marLeft w:val="0"/>
          <w:marRight w:val="0"/>
          <w:marTop w:val="0"/>
          <w:marBottom w:val="0"/>
          <w:divBdr>
            <w:top w:val="none" w:sz="0" w:space="0" w:color="auto"/>
            <w:left w:val="none" w:sz="0" w:space="0" w:color="auto"/>
            <w:bottom w:val="none" w:sz="0" w:space="0" w:color="auto"/>
            <w:right w:val="none" w:sz="0" w:space="0" w:color="auto"/>
          </w:divBdr>
        </w:div>
        <w:div w:id="1639676934">
          <w:marLeft w:val="0"/>
          <w:marRight w:val="0"/>
          <w:marTop w:val="0"/>
          <w:marBottom w:val="0"/>
          <w:divBdr>
            <w:top w:val="none" w:sz="0" w:space="0" w:color="auto"/>
            <w:left w:val="none" w:sz="0" w:space="0" w:color="auto"/>
            <w:bottom w:val="none" w:sz="0" w:space="0" w:color="auto"/>
            <w:right w:val="none" w:sz="0" w:space="0" w:color="auto"/>
          </w:divBdr>
        </w:div>
        <w:div w:id="721170125">
          <w:marLeft w:val="0"/>
          <w:marRight w:val="0"/>
          <w:marTop w:val="0"/>
          <w:marBottom w:val="0"/>
          <w:divBdr>
            <w:top w:val="none" w:sz="0" w:space="0" w:color="auto"/>
            <w:left w:val="none" w:sz="0" w:space="0" w:color="auto"/>
            <w:bottom w:val="none" w:sz="0" w:space="0" w:color="auto"/>
            <w:right w:val="none" w:sz="0" w:space="0" w:color="auto"/>
          </w:divBdr>
        </w:div>
        <w:div w:id="2109697338">
          <w:marLeft w:val="0"/>
          <w:marRight w:val="0"/>
          <w:marTop w:val="0"/>
          <w:marBottom w:val="0"/>
          <w:divBdr>
            <w:top w:val="none" w:sz="0" w:space="0" w:color="auto"/>
            <w:left w:val="none" w:sz="0" w:space="0" w:color="auto"/>
            <w:bottom w:val="none" w:sz="0" w:space="0" w:color="auto"/>
            <w:right w:val="none" w:sz="0" w:space="0" w:color="auto"/>
          </w:divBdr>
        </w:div>
        <w:div w:id="1885632875">
          <w:marLeft w:val="0"/>
          <w:marRight w:val="0"/>
          <w:marTop w:val="0"/>
          <w:marBottom w:val="0"/>
          <w:divBdr>
            <w:top w:val="none" w:sz="0" w:space="0" w:color="auto"/>
            <w:left w:val="none" w:sz="0" w:space="0" w:color="auto"/>
            <w:bottom w:val="none" w:sz="0" w:space="0" w:color="auto"/>
            <w:right w:val="none" w:sz="0" w:space="0" w:color="auto"/>
          </w:divBdr>
        </w:div>
        <w:div w:id="814104184">
          <w:marLeft w:val="0"/>
          <w:marRight w:val="0"/>
          <w:marTop w:val="0"/>
          <w:marBottom w:val="0"/>
          <w:divBdr>
            <w:top w:val="none" w:sz="0" w:space="0" w:color="auto"/>
            <w:left w:val="none" w:sz="0" w:space="0" w:color="auto"/>
            <w:bottom w:val="none" w:sz="0" w:space="0" w:color="auto"/>
            <w:right w:val="none" w:sz="0" w:space="0" w:color="auto"/>
          </w:divBdr>
        </w:div>
        <w:div w:id="169417820">
          <w:marLeft w:val="0"/>
          <w:marRight w:val="0"/>
          <w:marTop w:val="0"/>
          <w:marBottom w:val="0"/>
          <w:divBdr>
            <w:top w:val="none" w:sz="0" w:space="0" w:color="auto"/>
            <w:left w:val="none" w:sz="0" w:space="0" w:color="auto"/>
            <w:bottom w:val="none" w:sz="0" w:space="0" w:color="auto"/>
            <w:right w:val="none" w:sz="0" w:space="0" w:color="auto"/>
          </w:divBdr>
        </w:div>
        <w:div w:id="317349379">
          <w:marLeft w:val="0"/>
          <w:marRight w:val="0"/>
          <w:marTop w:val="0"/>
          <w:marBottom w:val="0"/>
          <w:divBdr>
            <w:top w:val="none" w:sz="0" w:space="0" w:color="auto"/>
            <w:left w:val="none" w:sz="0" w:space="0" w:color="auto"/>
            <w:bottom w:val="none" w:sz="0" w:space="0" w:color="auto"/>
            <w:right w:val="none" w:sz="0" w:space="0" w:color="auto"/>
          </w:divBdr>
        </w:div>
        <w:div w:id="1320882513">
          <w:marLeft w:val="0"/>
          <w:marRight w:val="0"/>
          <w:marTop w:val="0"/>
          <w:marBottom w:val="0"/>
          <w:divBdr>
            <w:top w:val="none" w:sz="0" w:space="0" w:color="auto"/>
            <w:left w:val="none" w:sz="0" w:space="0" w:color="auto"/>
            <w:bottom w:val="none" w:sz="0" w:space="0" w:color="auto"/>
            <w:right w:val="none" w:sz="0" w:space="0" w:color="auto"/>
          </w:divBdr>
        </w:div>
        <w:div w:id="1772893914">
          <w:marLeft w:val="0"/>
          <w:marRight w:val="0"/>
          <w:marTop w:val="0"/>
          <w:marBottom w:val="0"/>
          <w:divBdr>
            <w:top w:val="none" w:sz="0" w:space="0" w:color="auto"/>
            <w:left w:val="none" w:sz="0" w:space="0" w:color="auto"/>
            <w:bottom w:val="none" w:sz="0" w:space="0" w:color="auto"/>
            <w:right w:val="none" w:sz="0" w:space="0" w:color="auto"/>
          </w:divBdr>
        </w:div>
        <w:div w:id="1665009074">
          <w:marLeft w:val="0"/>
          <w:marRight w:val="0"/>
          <w:marTop w:val="0"/>
          <w:marBottom w:val="0"/>
          <w:divBdr>
            <w:top w:val="none" w:sz="0" w:space="0" w:color="auto"/>
            <w:left w:val="none" w:sz="0" w:space="0" w:color="auto"/>
            <w:bottom w:val="none" w:sz="0" w:space="0" w:color="auto"/>
            <w:right w:val="none" w:sz="0" w:space="0" w:color="auto"/>
          </w:divBdr>
        </w:div>
        <w:div w:id="2059236800">
          <w:marLeft w:val="0"/>
          <w:marRight w:val="0"/>
          <w:marTop w:val="0"/>
          <w:marBottom w:val="0"/>
          <w:divBdr>
            <w:top w:val="none" w:sz="0" w:space="0" w:color="auto"/>
            <w:left w:val="none" w:sz="0" w:space="0" w:color="auto"/>
            <w:bottom w:val="none" w:sz="0" w:space="0" w:color="auto"/>
            <w:right w:val="none" w:sz="0" w:space="0" w:color="auto"/>
          </w:divBdr>
        </w:div>
        <w:div w:id="1701668341">
          <w:marLeft w:val="0"/>
          <w:marRight w:val="0"/>
          <w:marTop w:val="0"/>
          <w:marBottom w:val="0"/>
          <w:divBdr>
            <w:top w:val="none" w:sz="0" w:space="0" w:color="auto"/>
            <w:left w:val="none" w:sz="0" w:space="0" w:color="auto"/>
            <w:bottom w:val="none" w:sz="0" w:space="0" w:color="auto"/>
            <w:right w:val="none" w:sz="0" w:space="0" w:color="auto"/>
          </w:divBdr>
        </w:div>
        <w:div w:id="93868224">
          <w:marLeft w:val="0"/>
          <w:marRight w:val="0"/>
          <w:marTop w:val="0"/>
          <w:marBottom w:val="0"/>
          <w:divBdr>
            <w:top w:val="none" w:sz="0" w:space="0" w:color="auto"/>
            <w:left w:val="none" w:sz="0" w:space="0" w:color="auto"/>
            <w:bottom w:val="none" w:sz="0" w:space="0" w:color="auto"/>
            <w:right w:val="none" w:sz="0" w:space="0" w:color="auto"/>
          </w:divBdr>
        </w:div>
        <w:div w:id="1740905526">
          <w:marLeft w:val="0"/>
          <w:marRight w:val="0"/>
          <w:marTop w:val="0"/>
          <w:marBottom w:val="0"/>
          <w:divBdr>
            <w:top w:val="none" w:sz="0" w:space="0" w:color="auto"/>
            <w:left w:val="none" w:sz="0" w:space="0" w:color="auto"/>
            <w:bottom w:val="none" w:sz="0" w:space="0" w:color="auto"/>
            <w:right w:val="none" w:sz="0" w:space="0" w:color="auto"/>
          </w:divBdr>
        </w:div>
        <w:div w:id="1261640151">
          <w:marLeft w:val="0"/>
          <w:marRight w:val="0"/>
          <w:marTop w:val="0"/>
          <w:marBottom w:val="0"/>
          <w:divBdr>
            <w:top w:val="none" w:sz="0" w:space="0" w:color="auto"/>
            <w:left w:val="none" w:sz="0" w:space="0" w:color="auto"/>
            <w:bottom w:val="none" w:sz="0" w:space="0" w:color="auto"/>
            <w:right w:val="none" w:sz="0" w:space="0" w:color="auto"/>
          </w:divBdr>
        </w:div>
        <w:div w:id="1504129522">
          <w:marLeft w:val="0"/>
          <w:marRight w:val="0"/>
          <w:marTop w:val="0"/>
          <w:marBottom w:val="0"/>
          <w:divBdr>
            <w:top w:val="none" w:sz="0" w:space="0" w:color="auto"/>
            <w:left w:val="none" w:sz="0" w:space="0" w:color="auto"/>
            <w:bottom w:val="none" w:sz="0" w:space="0" w:color="auto"/>
            <w:right w:val="none" w:sz="0" w:space="0" w:color="auto"/>
          </w:divBdr>
        </w:div>
        <w:div w:id="862354893">
          <w:marLeft w:val="0"/>
          <w:marRight w:val="0"/>
          <w:marTop w:val="0"/>
          <w:marBottom w:val="0"/>
          <w:divBdr>
            <w:top w:val="none" w:sz="0" w:space="0" w:color="auto"/>
            <w:left w:val="none" w:sz="0" w:space="0" w:color="auto"/>
            <w:bottom w:val="none" w:sz="0" w:space="0" w:color="auto"/>
            <w:right w:val="none" w:sz="0" w:space="0" w:color="auto"/>
          </w:divBdr>
        </w:div>
        <w:div w:id="1387072393">
          <w:marLeft w:val="0"/>
          <w:marRight w:val="0"/>
          <w:marTop w:val="0"/>
          <w:marBottom w:val="0"/>
          <w:divBdr>
            <w:top w:val="none" w:sz="0" w:space="0" w:color="auto"/>
            <w:left w:val="none" w:sz="0" w:space="0" w:color="auto"/>
            <w:bottom w:val="none" w:sz="0" w:space="0" w:color="auto"/>
            <w:right w:val="none" w:sz="0" w:space="0" w:color="auto"/>
          </w:divBdr>
        </w:div>
        <w:div w:id="584070163">
          <w:marLeft w:val="0"/>
          <w:marRight w:val="0"/>
          <w:marTop w:val="0"/>
          <w:marBottom w:val="0"/>
          <w:divBdr>
            <w:top w:val="none" w:sz="0" w:space="0" w:color="auto"/>
            <w:left w:val="none" w:sz="0" w:space="0" w:color="auto"/>
            <w:bottom w:val="none" w:sz="0" w:space="0" w:color="auto"/>
            <w:right w:val="none" w:sz="0" w:space="0" w:color="auto"/>
          </w:divBdr>
        </w:div>
        <w:div w:id="1449473590">
          <w:marLeft w:val="0"/>
          <w:marRight w:val="0"/>
          <w:marTop w:val="0"/>
          <w:marBottom w:val="0"/>
          <w:divBdr>
            <w:top w:val="none" w:sz="0" w:space="0" w:color="auto"/>
            <w:left w:val="none" w:sz="0" w:space="0" w:color="auto"/>
            <w:bottom w:val="none" w:sz="0" w:space="0" w:color="auto"/>
            <w:right w:val="none" w:sz="0" w:space="0" w:color="auto"/>
          </w:divBdr>
        </w:div>
        <w:div w:id="1372268577">
          <w:marLeft w:val="0"/>
          <w:marRight w:val="0"/>
          <w:marTop w:val="0"/>
          <w:marBottom w:val="0"/>
          <w:divBdr>
            <w:top w:val="none" w:sz="0" w:space="0" w:color="auto"/>
            <w:left w:val="none" w:sz="0" w:space="0" w:color="auto"/>
            <w:bottom w:val="none" w:sz="0" w:space="0" w:color="auto"/>
            <w:right w:val="none" w:sz="0" w:space="0" w:color="auto"/>
          </w:divBdr>
        </w:div>
        <w:div w:id="543912353">
          <w:marLeft w:val="0"/>
          <w:marRight w:val="0"/>
          <w:marTop w:val="0"/>
          <w:marBottom w:val="0"/>
          <w:divBdr>
            <w:top w:val="none" w:sz="0" w:space="0" w:color="auto"/>
            <w:left w:val="none" w:sz="0" w:space="0" w:color="auto"/>
            <w:bottom w:val="none" w:sz="0" w:space="0" w:color="auto"/>
            <w:right w:val="none" w:sz="0" w:space="0" w:color="auto"/>
          </w:divBdr>
        </w:div>
        <w:div w:id="1607620435">
          <w:marLeft w:val="0"/>
          <w:marRight w:val="0"/>
          <w:marTop w:val="0"/>
          <w:marBottom w:val="0"/>
          <w:divBdr>
            <w:top w:val="none" w:sz="0" w:space="0" w:color="auto"/>
            <w:left w:val="none" w:sz="0" w:space="0" w:color="auto"/>
            <w:bottom w:val="none" w:sz="0" w:space="0" w:color="auto"/>
            <w:right w:val="none" w:sz="0" w:space="0" w:color="auto"/>
          </w:divBdr>
        </w:div>
        <w:div w:id="887182660">
          <w:marLeft w:val="0"/>
          <w:marRight w:val="0"/>
          <w:marTop w:val="0"/>
          <w:marBottom w:val="0"/>
          <w:divBdr>
            <w:top w:val="none" w:sz="0" w:space="0" w:color="auto"/>
            <w:left w:val="none" w:sz="0" w:space="0" w:color="auto"/>
            <w:bottom w:val="none" w:sz="0" w:space="0" w:color="auto"/>
            <w:right w:val="none" w:sz="0" w:space="0" w:color="auto"/>
          </w:divBdr>
        </w:div>
        <w:div w:id="623584153">
          <w:marLeft w:val="0"/>
          <w:marRight w:val="0"/>
          <w:marTop w:val="0"/>
          <w:marBottom w:val="0"/>
          <w:divBdr>
            <w:top w:val="none" w:sz="0" w:space="0" w:color="auto"/>
            <w:left w:val="none" w:sz="0" w:space="0" w:color="auto"/>
            <w:bottom w:val="none" w:sz="0" w:space="0" w:color="auto"/>
            <w:right w:val="none" w:sz="0" w:space="0" w:color="auto"/>
          </w:divBdr>
        </w:div>
        <w:div w:id="851644724">
          <w:marLeft w:val="0"/>
          <w:marRight w:val="0"/>
          <w:marTop w:val="0"/>
          <w:marBottom w:val="0"/>
          <w:divBdr>
            <w:top w:val="none" w:sz="0" w:space="0" w:color="auto"/>
            <w:left w:val="none" w:sz="0" w:space="0" w:color="auto"/>
            <w:bottom w:val="none" w:sz="0" w:space="0" w:color="auto"/>
            <w:right w:val="none" w:sz="0" w:space="0" w:color="auto"/>
          </w:divBdr>
        </w:div>
        <w:div w:id="11154935">
          <w:marLeft w:val="0"/>
          <w:marRight w:val="0"/>
          <w:marTop w:val="0"/>
          <w:marBottom w:val="0"/>
          <w:divBdr>
            <w:top w:val="none" w:sz="0" w:space="0" w:color="auto"/>
            <w:left w:val="none" w:sz="0" w:space="0" w:color="auto"/>
            <w:bottom w:val="none" w:sz="0" w:space="0" w:color="auto"/>
            <w:right w:val="none" w:sz="0" w:space="0" w:color="auto"/>
          </w:divBdr>
        </w:div>
      </w:divsChild>
    </w:div>
    <w:div w:id="1341393166">
      <w:bodyDiv w:val="1"/>
      <w:marLeft w:val="0"/>
      <w:marRight w:val="0"/>
      <w:marTop w:val="0"/>
      <w:marBottom w:val="0"/>
      <w:divBdr>
        <w:top w:val="none" w:sz="0" w:space="0" w:color="auto"/>
        <w:left w:val="none" w:sz="0" w:space="0" w:color="auto"/>
        <w:bottom w:val="none" w:sz="0" w:space="0" w:color="auto"/>
        <w:right w:val="none" w:sz="0" w:space="0" w:color="auto"/>
      </w:divBdr>
      <w:divsChild>
        <w:div w:id="64650917">
          <w:marLeft w:val="0"/>
          <w:marRight w:val="0"/>
          <w:marTop w:val="0"/>
          <w:marBottom w:val="0"/>
          <w:divBdr>
            <w:top w:val="none" w:sz="0" w:space="0" w:color="auto"/>
            <w:left w:val="none" w:sz="0" w:space="0" w:color="auto"/>
            <w:bottom w:val="none" w:sz="0" w:space="0" w:color="auto"/>
            <w:right w:val="none" w:sz="0" w:space="0" w:color="auto"/>
          </w:divBdr>
        </w:div>
        <w:div w:id="738746482">
          <w:marLeft w:val="0"/>
          <w:marRight w:val="0"/>
          <w:marTop w:val="0"/>
          <w:marBottom w:val="0"/>
          <w:divBdr>
            <w:top w:val="none" w:sz="0" w:space="0" w:color="auto"/>
            <w:left w:val="none" w:sz="0" w:space="0" w:color="auto"/>
            <w:bottom w:val="none" w:sz="0" w:space="0" w:color="auto"/>
            <w:right w:val="none" w:sz="0" w:space="0" w:color="auto"/>
          </w:divBdr>
        </w:div>
        <w:div w:id="556207917">
          <w:marLeft w:val="0"/>
          <w:marRight w:val="0"/>
          <w:marTop w:val="0"/>
          <w:marBottom w:val="0"/>
          <w:divBdr>
            <w:top w:val="none" w:sz="0" w:space="0" w:color="auto"/>
            <w:left w:val="none" w:sz="0" w:space="0" w:color="auto"/>
            <w:bottom w:val="none" w:sz="0" w:space="0" w:color="auto"/>
            <w:right w:val="none" w:sz="0" w:space="0" w:color="auto"/>
          </w:divBdr>
        </w:div>
        <w:div w:id="1212889898">
          <w:marLeft w:val="0"/>
          <w:marRight w:val="0"/>
          <w:marTop w:val="0"/>
          <w:marBottom w:val="0"/>
          <w:divBdr>
            <w:top w:val="none" w:sz="0" w:space="0" w:color="auto"/>
            <w:left w:val="none" w:sz="0" w:space="0" w:color="auto"/>
            <w:bottom w:val="none" w:sz="0" w:space="0" w:color="auto"/>
            <w:right w:val="none" w:sz="0" w:space="0" w:color="auto"/>
          </w:divBdr>
        </w:div>
      </w:divsChild>
    </w:div>
    <w:div w:id="136826264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54">
          <w:marLeft w:val="0"/>
          <w:marRight w:val="0"/>
          <w:marTop w:val="0"/>
          <w:marBottom w:val="0"/>
          <w:divBdr>
            <w:top w:val="none" w:sz="0" w:space="0" w:color="auto"/>
            <w:left w:val="none" w:sz="0" w:space="0" w:color="auto"/>
            <w:bottom w:val="none" w:sz="0" w:space="0" w:color="auto"/>
            <w:right w:val="none" w:sz="0" w:space="0" w:color="auto"/>
          </w:divBdr>
        </w:div>
        <w:div w:id="915748849">
          <w:marLeft w:val="0"/>
          <w:marRight w:val="0"/>
          <w:marTop w:val="0"/>
          <w:marBottom w:val="0"/>
          <w:divBdr>
            <w:top w:val="none" w:sz="0" w:space="0" w:color="auto"/>
            <w:left w:val="none" w:sz="0" w:space="0" w:color="auto"/>
            <w:bottom w:val="none" w:sz="0" w:space="0" w:color="auto"/>
            <w:right w:val="none" w:sz="0" w:space="0" w:color="auto"/>
          </w:divBdr>
        </w:div>
        <w:div w:id="530337460">
          <w:marLeft w:val="0"/>
          <w:marRight w:val="0"/>
          <w:marTop w:val="0"/>
          <w:marBottom w:val="0"/>
          <w:divBdr>
            <w:top w:val="none" w:sz="0" w:space="0" w:color="auto"/>
            <w:left w:val="none" w:sz="0" w:space="0" w:color="auto"/>
            <w:bottom w:val="none" w:sz="0" w:space="0" w:color="auto"/>
            <w:right w:val="none" w:sz="0" w:space="0" w:color="auto"/>
          </w:divBdr>
        </w:div>
        <w:div w:id="1810129725">
          <w:marLeft w:val="0"/>
          <w:marRight w:val="0"/>
          <w:marTop w:val="0"/>
          <w:marBottom w:val="0"/>
          <w:divBdr>
            <w:top w:val="none" w:sz="0" w:space="0" w:color="auto"/>
            <w:left w:val="none" w:sz="0" w:space="0" w:color="auto"/>
            <w:bottom w:val="none" w:sz="0" w:space="0" w:color="auto"/>
            <w:right w:val="none" w:sz="0" w:space="0" w:color="auto"/>
          </w:divBdr>
        </w:div>
      </w:divsChild>
    </w:div>
    <w:div w:id="1406222195">
      <w:bodyDiv w:val="1"/>
      <w:marLeft w:val="0"/>
      <w:marRight w:val="0"/>
      <w:marTop w:val="0"/>
      <w:marBottom w:val="0"/>
      <w:divBdr>
        <w:top w:val="none" w:sz="0" w:space="0" w:color="auto"/>
        <w:left w:val="none" w:sz="0" w:space="0" w:color="auto"/>
        <w:bottom w:val="none" w:sz="0" w:space="0" w:color="auto"/>
        <w:right w:val="none" w:sz="0" w:space="0" w:color="auto"/>
      </w:divBdr>
      <w:divsChild>
        <w:div w:id="1890221211">
          <w:marLeft w:val="0"/>
          <w:marRight w:val="0"/>
          <w:marTop w:val="0"/>
          <w:marBottom w:val="0"/>
          <w:divBdr>
            <w:top w:val="none" w:sz="0" w:space="0" w:color="auto"/>
            <w:left w:val="none" w:sz="0" w:space="0" w:color="auto"/>
            <w:bottom w:val="none" w:sz="0" w:space="0" w:color="auto"/>
            <w:right w:val="none" w:sz="0" w:space="0" w:color="auto"/>
          </w:divBdr>
        </w:div>
        <w:div w:id="42801135">
          <w:marLeft w:val="0"/>
          <w:marRight w:val="0"/>
          <w:marTop w:val="0"/>
          <w:marBottom w:val="0"/>
          <w:divBdr>
            <w:top w:val="none" w:sz="0" w:space="0" w:color="auto"/>
            <w:left w:val="none" w:sz="0" w:space="0" w:color="auto"/>
            <w:bottom w:val="none" w:sz="0" w:space="0" w:color="auto"/>
            <w:right w:val="none" w:sz="0" w:space="0" w:color="auto"/>
          </w:divBdr>
        </w:div>
        <w:div w:id="749304174">
          <w:marLeft w:val="0"/>
          <w:marRight w:val="0"/>
          <w:marTop w:val="0"/>
          <w:marBottom w:val="0"/>
          <w:divBdr>
            <w:top w:val="none" w:sz="0" w:space="0" w:color="auto"/>
            <w:left w:val="none" w:sz="0" w:space="0" w:color="auto"/>
            <w:bottom w:val="none" w:sz="0" w:space="0" w:color="auto"/>
            <w:right w:val="none" w:sz="0" w:space="0" w:color="auto"/>
          </w:divBdr>
        </w:div>
        <w:div w:id="399794915">
          <w:marLeft w:val="0"/>
          <w:marRight w:val="0"/>
          <w:marTop w:val="0"/>
          <w:marBottom w:val="0"/>
          <w:divBdr>
            <w:top w:val="none" w:sz="0" w:space="0" w:color="auto"/>
            <w:left w:val="none" w:sz="0" w:space="0" w:color="auto"/>
            <w:bottom w:val="none" w:sz="0" w:space="0" w:color="auto"/>
            <w:right w:val="none" w:sz="0" w:space="0" w:color="auto"/>
          </w:divBdr>
        </w:div>
      </w:divsChild>
    </w:div>
    <w:div w:id="1408071282">
      <w:bodyDiv w:val="1"/>
      <w:marLeft w:val="0"/>
      <w:marRight w:val="0"/>
      <w:marTop w:val="0"/>
      <w:marBottom w:val="0"/>
      <w:divBdr>
        <w:top w:val="none" w:sz="0" w:space="0" w:color="auto"/>
        <w:left w:val="none" w:sz="0" w:space="0" w:color="auto"/>
        <w:bottom w:val="none" w:sz="0" w:space="0" w:color="auto"/>
        <w:right w:val="none" w:sz="0" w:space="0" w:color="auto"/>
      </w:divBdr>
      <w:divsChild>
        <w:div w:id="1999184917">
          <w:marLeft w:val="0"/>
          <w:marRight w:val="0"/>
          <w:marTop w:val="0"/>
          <w:marBottom w:val="0"/>
          <w:divBdr>
            <w:top w:val="none" w:sz="0" w:space="0" w:color="auto"/>
            <w:left w:val="none" w:sz="0" w:space="0" w:color="auto"/>
            <w:bottom w:val="none" w:sz="0" w:space="0" w:color="auto"/>
            <w:right w:val="none" w:sz="0" w:space="0" w:color="auto"/>
          </w:divBdr>
        </w:div>
        <w:div w:id="989485833">
          <w:marLeft w:val="0"/>
          <w:marRight w:val="0"/>
          <w:marTop w:val="0"/>
          <w:marBottom w:val="0"/>
          <w:divBdr>
            <w:top w:val="none" w:sz="0" w:space="0" w:color="auto"/>
            <w:left w:val="none" w:sz="0" w:space="0" w:color="auto"/>
            <w:bottom w:val="none" w:sz="0" w:space="0" w:color="auto"/>
            <w:right w:val="none" w:sz="0" w:space="0" w:color="auto"/>
          </w:divBdr>
        </w:div>
        <w:div w:id="171648164">
          <w:marLeft w:val="0"/>
          <w:marRight w:val="0"/>
          <w:marTop w:val="0"/>
          <w:marBottom w:val="0"/>
          <w:divBdr>
            <w:top w:val="none" w:sz="0" w:space="0" w:color="auto"/>
            <w:left w:val="none" w:sz="0" w:space="0" w:color="auto"/>
            <w:bottom w:val="none" w:sz="0" w:space="0" w:color="auto"/>
            <w:right w:val="none" w:sz="0" w:space="0" w:color="auto"/>
          </w:divBdr>
        </w:div>
        <w:div w:id="699739868">
          <w:marLeft w:val="0"/>
          <w:marRight w:val="0"/>
          <w:marTop w:val="0"/>
          <w:marBottom w:val="0"/>
          <w:divBdr>
            <w:top w:val="none" w:sz="0" w:space="0" w:color="auto"/>
            <w:left w:val="none" w:sz="0" w:space="0" w:color="auto"/>
            <w:bottom w:val="none" w:sz="0" w:space="0" w:color="auto"/>
            <w:right w:val="none" w:sz="0" w:space="0" w:color="auto"/>
          </w:divBdr>
        </w:div>
      </w:divsChild>
    </w:div>
    <w:div w:id="1511484778">
      <w:bodyDiv w:val="1"/>
      <w:marLeft w:val="0"/>
      <w:marRight w:val="0"/>
      <w:marTop w:val="0"/>
      <w:marBottom w:val="0"/>
      <w:divBdr>
        <w:top w:val="none" w:sz="0" w:space="0" w:color="auto"/>
        <w:left w:val="none" w:sz="0" w:space="0" w:color="auto"/>
        <w:bottom w:val="none" w:sz="0" w:space="0" w:color="auto"/>
        <w:right w:val="none" w:sz="0" w:space="0" w:color="auto"/>
      </w:divBdr>
      <w:divsChild>
        <w:div w:id="77943023">
          <w:marLeft w:val="0"/>
          <w:marRight w:val="0"/>
          <w:marTop w:val="0"/>
          <w:marBottom w:val="0"/>
          <w:divBdr>
            <w:top w:val="none" w:sz="0" w:space="0" w:color="auto"/>
            <w:left w:val="none" w:sz="0" w:space="0" w:color="auto"/>
            <w:bottom w:val="none" w:sz="0" w:space="0" w:color="auto"/>
            <w:right w:val="none" w:sz="0" w:space="0" w:color="auto"/>
          </w:divBdr>
        </w:div>
        <w:div w:id="1954825513">
          <w:marLeft w:val="0"/>
          <w:marRight w:val="0"/>
          <w:marTop w:val="0"/>
          <w:marBottom w:val="0"/>
          <w:divBdr>
            <w:top w:val="none" w:sz="0" w:space="0" w:color="auto"/>
            <w:left w:val="none" w:sz="0" w:space="0" w:color="auto"/>
            <w:bottom w:val="none" w:sz="0" w:space="0" w:color="auto"/>
            <w:right w:val="none" w:sz="0" w:space="0" w:color="auto"/>
          </w:divBdr>
        </w:div>
        <w:div w:id="1577786178">
          <w:marLeft w:val="0"/>
          <w:marRight w:val="0"/>
          <w:marTop w:val="0"/>
          <w:marBottom w:val="0"/>
          <w:divBdr>
            <w:top w:val="none" w:sz="0" w:space="0" w:color="auto"/>
            <w:left w:val="none" w:sz="0" w:space="0" w:color="auto"/>
            <w:bottom w:val="none" w:sz="0" w:space="0" w:color="auto"/>
            <w:right w:val="none" w:sz="0" w:space="0" w:color="auto"/>
          </w:divBdr>
        </w:div>
        <w:div w:id="988288402">
          <w:marLeft w:val="0"/>
          <w:marRight w:val="0"/>
          <w:marTop w:val="0"/>
          <w:marBottom w:val="0"/>
          <w:divBdr>
            <w:top w:val="none" w:sz="0" w:space="0" w:color="auto"/>
            <w:left w:val="none" w:sz="0" w:space="0" w:color="auto"/>
            <w:bottom w:val="none" w:sz="0" w:space="0" w:color="auto"/>
            <w:right w:val="none" w:sz="0" w:space="0" w:color="auto"/>
          </w:divBdr>
        </w:div>
        <w:div w:id="474876214">
          <w:marLeft w:val="0"/>
          <w:marRight w:val="0"/>
          <w:marTop w:val="0"/>
          <w:marBottom w:val="0"/>
          <w:divBdr>
            <w:top w:val="none" w:sz="0" w:space="0" w:color="auto"/>
            <w:left w:val="none" w:sz="0" w:space="0" w:color="auto"/>
            <w:bottom w:val="none" w:sz="0" w:space="0" w:color="auto"/>
            <w:right w:val="none" w:sz="0" w:space="0" w:color="auto"/>
          </w:divBdr>
        </w:div>
        <w:div w:id="1837762473">
          <w:marLeft w:val="0"/>
          <w:marRight w:val="0"/>
          <w:marTop w:val="0"/>
          <w:marBottom w:val="0"/>
          <w:divBdr>
            <w:top w:val="none" w:sz="0" w:space="0" w:color="auto"/>
            <w:left w:val="none" w:sz="0" w:space="0" w:color="auto"/>
            <w:bottom w:val="none" w:sz="0" w:space="0" w:color="auto"/>
            <w:right w:val="none" w:sz="0" w:space="0" w:color="auto"/>
          </w:divBdr>
        </w:div>
      </w:divsChild>
    </w:div>
    <w:div w:id="1522666063">
      <w:bodyDiv w:val="1"/>
      <w:marLeft w:val="0"/>
      <w:marRight w:val="0"/>
      <w:marTop w:val="0"/>
      <w:marBottom w:val="0"/>
      <w:divBdr>
        <w:top w:val="none" w:sz="0" w:space="0" w:color="auto"/>
        <w:left w:val="none" w:sz="0" w:space="0" w:color="auto"/>
        <w:bottom w:val="none" w:sz="0" w:space="0" w:color="auto"/>
        <w:right w:val="none" w:sz="0" w:space="0" w:color="auto"/>
      </w:divBdr>
      <w:divsChild>
        <w:div w:id="1218859388">
          <w:marLeft w:val="0"/>
          <w:marRight w:val="0"/>
          <w:marTop w:val="0"/>
          <w:marBottom w:val="0"/>
          <w:divBdr>
            <w:top w:val="none" w:sz="0" w:space="0" w:color="auto"/>
            <w:left w:val="none" w:sz="0" w:space="0" w:color="auto"/>
            <w:bottom w:val="none" w:sz="0" w:space="0" w:color="auto"/>
            <w:right w:val="none" w:sz="0" w:space="0" w:color="auto"/>
          </w:divBdr>
        </w:div>
        <w:div w:id="297759914">
          <w:marLeft w:val="0"/>
          <w:marRight w:val="0"/>
          <w:marTop w:val="0"/>
          <w:marBottom w:val="0"/>
          <w:divBdr>
            <w:top w:val="none" w:sz="0" w:space="0" w:color="auto"/>
            <w:left w:val="none" w:sz="0" w:space="0" w:color="auto"/>
            <w:bottom w:val="none" w:sz="0" w:space="0" w:color="auto"/>
            <w:right w:val="none" w:sz="0" w:space="0" w:color="auto"/>
          </w:divBdr>
        </w:div>
      </w:divsChild>
    </w:div>
    <w:div w:id="1528518148">
      <w:bodyDiv w:val="1"/>
      <w:marLeft w:val="0"/>
      <w:marRight w:val="0"/>
      <w:marTop w:val="0"/>
      <w:marBottom w:val="0"/>
      <w:divBdr>
        <w:top w:val="none" w:sz="0" w:space="0" w:color="auto"/>
        <w:left w:val="none" w:sz="0" w:space="0" w:color="auto"/>
        <w:bottom w:val="none" w:sz="0" w:space="0" w:color="auto"/>
        <w:right w:val="none" w:sz="0" w:space="0" w:color="auto"/>
      </w:divBdr>
      <w:divsChild>
        <w:div w:id="544492002">
          <w:marLeft w:val="0"/>
          <w:marRight w:val="0"/>
          <w:marTop w:val="0"/>
          <w:marBottom w:val="0"/>
          <w:divBdr>
            <w:top w:val="none" w:sz="0" w:space="0" w:color="auto"/>
            <w:left w:val="none" w:sz="0" w:space="0" w:color="auto"/>
            <w:bottom w:val="none" w:sz="0" w:space="0" w:color="auto"/>
            <w:right w:val="none" w:sz="0" w:space="0" w:color="auto"/>
          </w:divBdr>
        </w:div>
        <w:div w:id="1879975843">
          <w:marLeft w:val="0"/>
          <w:marRight w:val="0"/>
          <w:marTop w:val="0"/>
          <w:marBottom w:val="0"/>
          <w:divBdr>
            <w:top w:val="none" w:sz="0" w:space="0" w:color="auto"/>
            <w:left w:val="none" w:sz="0" w:space="0" w:color="auto"/>
            <w:bottom w:val="none" w:sz="0" w:space="0" w:color="auto"/>
            <w:right w:val="none" w:sz="0" w:space="0" w:color="auto"/>
          </w:divBdr>
        </w:div>
        <w:div w:id="501702332">
          <w:marLeft w:val="0"/>
          <w:marRight w:val="0"/>
          <w:marTop w:val="0"/>
          <w:marBottom w:val="0"/>
          <w:divBdr>
            <w:top w:val="none" w:sz="0" w:space="0" w:color="auto"/>
            <w:left w:val="none" w:sz="0" w:space="0" w:color="auto"/>
            <w:bottom w:val="none" w:sz="0" w:space="0" w:color="auto"/>
            <w:right w:val="none" w:sz="0" w:space="0" w:color="auto"/>
          </w:divBdr>
        </w:div>
        <w:div w:id="2019261688">
          <w:marLeft w:val="0"/>
          <w:marRight w:val="0"/>
          <w:marTop w:val="0"/>
          <w:marBottom w:val="0"/>
          <w:divBdr>
            <w:top w:val="none" w:sz="0" w:space="0" w:color="auto"/>
            <w:left w:val="none" w:sz="0" w:space="0" w:color="auto"/>
            <w:bottom w:val="none" w:sz="0" w:space="0" w:color="auto"/>
            <w:right w:val="none" w:sz="0" w:space="0" w:color="auto"/>
          </w:divBdr>
        </w:div>
      </w:divsChild>
    </w:div>
    <w:div w:id="1543667506">
      <w:bodyDiv w:val="1"/>
      <w:marLeft w:val="0"/>
      <w:marRight w:val="0"/>
      <w:marTop w:val="0"/>
      <w:marBottom w:val="0"/>
      <w:divBdr>
        <w:top w:val="none" w:sz="0" w:space="0" w:color="auto"/>
        <w:left w:val="none" w:sz="0" w:space="0" w:color="auto"/>
        <w:bottom w:val="none" w:sz="0" w:space="0" w:color="auto"/>
        <w:right w:val="none" w:sz="0" w:space="0" w:color="auto"/>
      </w:divBdr>
      <w:divsChild>
        <w:div w:id="2113502909">
          <w:marLeft w:val="0"/>
          <w:marRight w:val="0"/>
          <w:marTop w:val="0"/>
          <w:marBottom w:val="0"/>
          <w:divBdr>
            <w:top w:val="none" w:sz="0" w:space="0" w:color="auto"/>
            <w:left w:val="none" w:sz="0" w:space="0" w:color="auto"/>
            <w:bottom w:val="none" w:sz="0" w:space="0" w:color="auto"/>
            <w:right w:val="none" w:sz="0" w:space="0" w:color="auto"/>
          </w:divBdr>
        </w:div>
        <w:div w:id="1011875976">
          <w:marLeft w:val="0"/>
          <w:marRight w:val="0"/>
          <w:marTop w:val="0"/>
          <w:marBottom w:val="0"/>
          <w:divBdr>
            <w:top w:val="none" w:sz="0" w:space="0" w:color="auto"/>
            <w:left w:val="none" w:sz="0" w:space="0" w:color="auto"/>
            <w:bottom w:val="none" w:sz="0" w:space="0" w:color="auto"/>
            <w:right w:val="none" w:sz="0" w:space="0" w:color="auto"/>
          </w:divBdr>
        </w:div>
        <w:div w:id="1729495142">
          <w:marLeft w:val="0"/>
          <w:marRight w:val="0"/>
          <w:marTop w:val="0"/>
          <w:marBottom w:val="0"/>
          <w:divBdr>
            <w:top w:val="none" w:sz="0" w:space="0" w:color="auto"/>
            <w:left w:val="none" w:sz="0" w:space="0" w:color="auto"/>
            <w:bottom w:val="none" w:sz="0" w:space="0" w:color="auto"/>
            <w:right w:val="none" w:sz="0" w:space="0" w:color="auto"/>
          </w:divBdr>
        </w:div>
        <w:div w:id="1243568527">
          <w:marLeft w:val="0"/>
          <w:marRight w:val="0"/>
          <w:marTop w:val="0"/>
          <w:marBottom w:val="0"/>
          <w:divBdr>
            <w:top w:val="none" w:sz="0" w:space="0" w:color="auto"/>
            <w:left w:val="none" w:sz="0" w:space="0" w:color="auto"/>
            <w:bottom w:val="none" w:sz="0" w:space="0" w:color="auto"/>
            <w:right w:val="none" w:sz="0" w:space="0" w:color="auto"/>
          </w:divBdr>
        </w:div>
      </w:divsChild>
    </w:div>
    <w:div w:id="1553807235">
      <w:bodyDiv w:val="1"/>
      <w:marLeft w:val="0"/>
      <w:marRight w:val="0"/>
      <w:marTop w:val="0"/>
      <w:marBottom w:val="0"/>
      <w:divBdr>
        <w:top w:val="none" w:sz="0" w:space="0" w:color="auto"/>
        <w:left w:val="none" w:sz="0" w:space="0" w:color="auto"/>
        <w:bottom w:val="none" w:sz="0" w:space="0" w:color="auto"/>
        <w:right w:val="none" w:sz="0" w:space="0" w:color="auto"/>
      </w:divBdr>
      <w:divsChild>
        <w:div w:id="1308513556">
          <w:marLeft w:val="0"/>
          <w:marRight w:val="0"/>
          <w:marTop w:val="0"/>
          <w:marBottom w:val="0"/>
          <w:divBdr>
            <w:top w:val="none" w:sz="0" w:space="0" w:color="auto"/>
            <w:left w:val="none" w:sz="0" w:space="0" w:color="auto"/>
            <w:bottom w:val="none" w:sz="0" w:space="0" w:color="auto"/>
            <w:right w:val="none" w:sz="0" w:space="0" w:color="auto"/>
          </w:divBdr>
        </w:div>
        <w:div w:id="1940134277">
          <w:marLeft w:val="0"/>
          <w:marRight w:val="0"/>
          <w:marTop w:val="0"/>
          <w:marBottom w:val="0"/>
          <w:divBdr>
            <w:top w:val="none" w:sz="0" w:space="0" w:color="auto"/>
            <w:left w:val="none" w:sz="0" w:space="0" w:color="auto"/>
            <w:bottom w:val="none" w:sz="0" w:space="0" w:color="auto"/>
            <w:right w:val="none" w:sz="0" w:space="0" w:color="auto"/>
          </w:divBdr>
        </w:div>
        <w:div w:id="399401435">
          <w:marLeft w:val="0"/>
          <w:marRight w:val="0"/>
          <w:marTop w:val="0"/>
          <w:marBottom w:val="0"/>
          <w:divBdr>
            <w:top w:val="none" w:sz="0" w:space="0" w:color="auto"/>
            <w:left w:val="none" w:sz="0" w:space="0" w:color="auto"/>
            <w:bottom w:val="none" w:sz="0" w:space="0" w:color="auto"/>
            <w:right w:val="none" w:sz="0" w:space="0" w:color="auto"/>
          </w:divBdr>
        </w:div>
        <w:div w:id="1149514428">
          <w:marLeft w:val="0"/>
          <w:marRight w:val="0"/>
          <w:marTop w:val="0"/>
          <w:marBottom w:val="0"/>
          <w:divBdr>
            <w:top w:val="none" w:sz="0" w:space="0" w:color="auto"/>
            <w:left w:val="none" w:sz="0" w:space="0" w:color="auto"/>
            <w:bottom w:val="none" w:sz="0" w:space="0" w:color="auto"/>
            <w:right w:val="none" w:sz="0" w:space="0" w:color="auto"/>
          </w:divBdr>
        </w:div>
      </w:divsChild>
    </w:div>
    <w:div w:id="1583567081">
      <w:bodyDiv w:val="1"/>
      <w:marLeft w:val="0"/>
      <w:marRight w:val="0"/>
      <w:marTop w:val="0"/>
      <w:marBottom w:val="0"/>
      <w:divBdr>
        <w:top w:val="none" w:sz="0" w:space="0" w:color="auto"/>
        <w:left w:val="none" w:sz="0" w:space="0" w:color="auto"/>
        <w:bottom w:val="none" w:sz="0" w:space="0" w:color="auto"/>
        <w:right w:val="none" w:sz="0" w:space="0" w:color="auto"/>
      </w:divBdr>
      <w:divsChild>
        <w:div w:id="189034700">
          <w:marLeft w:val="0"/>
          <w:marRight w:val="0"/>
          <w:marTop w:val="0"/>
          <w:marBottom w:val="0"/>
          <w:divBdr>
            <w:top w:val="none" w:sz="0" w:space="0" w:color="auto"/>
            <w:left w:val="none" w:sz="0" w:space="0" w:color="auto"/>
            <w:bottom w:val="none" w:sz="0" w:space="0" w:color="auto"/>
            <w:right w:val="none" w:sz="0" w:space="0" w:color="auto"/>
          </w:divBdr>
        </w:div>
        <w:div w:id="1994991176">
          <w:marLeft w:val="0"/>
          <w:marRight w:val="0"/>
          <w:marTop w:val="0"/>
          <w:marBottom w:val="0"/>
          <w:divBdr>
            <w:top w:val="none" w:sz="0" w:space="0" w:color="auto"/>
            <w:left w:val="none" w:sz="0" w:space="0" w:color="auto"/>
            <w:bottom w:val="none" w:sz="0" w:space="0" w:color="auto"/>
            <w:right w:val="none" w:sz="0" w:space="0" w:color="auto"/>
          </w:divBdr>
        </w:div>
        <w:div w:id="1007682179">
          <w:marLeft w:val="0"/>
          <w:marRight w:val="0"/>
          <w:marTop w:val="0"/>
          <w:marBottom w:val="0"/>
          <w:divBdr>
            <w:top w:val="none" w:sz="0" w:space="0" w:color="auto"/>
            <w:left w:val="none" w:sz="0" w:space="0" w:color="auto"/>
            <w:bottom w:val="none" w:sz="0" w:space="0" w:color="auto"/>
            <w:right w:val="none" w:sz="0" w:space="0" w:color="auto"/>
          </w:divBdr>
        </w:div>
      </w:divsChild>
    </w:div>
    <w:div w:id="1670791847">
      <w:bodyDiv w:val="1"/>
      <w:marLeft w:val="0"/>
      <w:marRight w:val="0"/>
      <w:marTop w:val="0"/>
      <w:marBottom w:val="0"/>
      <w:divBdr>
        <w:top w:val="none" w:sz="0" w:space="0" w:color="auto"/>
        <w:left w:val="none" w:sz="0" w:space="0" w:color="auto"/>
        <w:bottom w:val="none" w:sz="0" w:space="0" w:color="auto"/>
        <w:right w:val="none" w:sz="0" w:space="0" w:color="auto"/>
      </w:divBdr>
      <w:divsChild>
        <w:div w:id="1150295193">
          <w:marLeft w:val="0"/>
          <w:marRight w:val="0"/>
          <w:marTop w:val="0"/>
          <w:marBottom w:val="0"/>
          <w:divBdr>
            <w:top w:val="none" w:sz="0" w:space="0" w:color="auto"/>
            <w:left w:val="none" w:sz="0" w:space="0" w:color="auto"/>
            <w:bottom w:val="none" w:sz="0" w:space="0" w:color="auto"/>
            <w:right w:val="none" w:sz="0" w:space="0" w:color="auto"/>
          </w:divBdr>
        </w:div>
        <w:div w:id="957613115">
          <w:marLeft w:val="0"/>
          <w:marRight w:val="0"/>
          <w:marTop w:val="0"/>
          <w:marBottom w:val="0"/>
          <w:divBdr>
            <w:top w:val="none" w:sz="0" w:space="0" w:color="auto"/>
            <w:left w:val="none" w:sz="0" w:space="0" w:color="auto"/>
            <w:bottom w:val="none" w:sz="0" w:space="0" w:color="auto"/>
            <w:right w:val="none" w:sz="0" w:space="0" w:color="auto"/>
          </w:divBdr>
        </w:div>
      </w:divsChild>
    </w:div>
    <w:div w:id="1718312330">
      <w:bodyDiv w:val="1"/>
      <w:marLeft w:val="0"/>
      <w:marRight w:val="0"/>
      <w:marTop w:val="0"/>
      <w:marBottom w:val="0"/>
      <w:divBdr>
        <w:top w:val="none" w:sz="0" w:space="0" w:color="auto"/>
        <w:left w:val="none" w:sz="0" w:space="0" w:color="auto"/>
        <w:bottom w:val="none" w:sz="0" w:space="0" w:color="auto"/>
        <w:right w:val="none" w:sz="0" w:space="0" w:color="auto"/>
      </w:divBdr>
      <w:divsChild>
        <w:div w:id="758135472">
          <w:marLeft w:val="0"/>
          <w:marRight w:val="0"/>
          <w:marTop w:val="0"/>
          <w:marBottom w:val="0"/>
          <w:divBdr>
            <w:top w:val="none" w:sz="0" w:space="0" w:color="auto"/>
            <w:left w:val="none" w:sz="0" w:space="0" w:color="auto"/>
            <w:bottom w:val="none" w:sz="0" w:space="0" w:color="auto"/>
            <w:right w:val="none" w:sz="0" w:space="0" w:color="auto"/>
          </w:divBdr>
        </w:div>
        <w:div w:id="2145194032">
          <w:marLeft w:val="0"/>
          <w:marRight w:val="0"/>
          <w:marTop w:val="0"/>
          <w:marBottom w:val="0"/>
          <w:divBdr>
            <w:top w:val="none" w:sz="0" w:space="0" w:color="auto"/>
            <w:left w:val="none" w:sz="0" w:space="0" w:color="auto"/>
            <w:bottom w:val="none" w:sz="0" w:space="0" w:color="auto"/>
            <w:right w:val="none" w:sz="0" w:space="0" w:color="auto"/>
          </w:divBdr>
        </w:div>
        <w:div w:id="397021222">
          <w:marLeft w:val="0"/>
          <w:marRight w:val="0"/>
          <w:marTop w:val="0"/>
          <w:marBottom w:val="0"/>
          <w:divBdr>
            <w:top w:val="none" w:sz="0" w:space="0" w:color="auto"/>
            <w:left w:val="none" w:sz="0" w:space="0" w:color="auto"/>
            <w:bottom w:val="none" w:sz="0" w:space="0" w:color="auto"/>
            <w:right w:val="none" w:sz="0" w:space="0" w:color="auto"/>
          </w:divBdr>
        </w:div>
        <w:div w:id="330960152">
          <w:marLeft w:val="0"/>
          <w:marRight w:val="0"/>
          <w:marTop w:val="0"/>
          <w:marBottom w:val="0"/>
          <w:divBdr>
            <w:top w:val="none" w:sz="0" w:space="0" w:color="auto"/>
            <w:left w:val="none" w:sz="0" w:space="0" w:color="auto"/>
            <w:bottom w:val="none" w:sz="0" w:space="0" w:color="auto"/>
            <w:right w:val="none" w:sz="0" w:space="0" w:color="auto"/>
          </w:divBdr>
        </w:div>
        <w:div w:id="1862161063">
          <w:marLeft w:val="0"/>
          <w:marRight w:val="0"/>
          <w:marTop w:val="0"/>
          <w:marBottom w:val="0"/>
          <w:divBdr>
            <w:top w:val="none" w:sz="0" w:space="0" w:color="auto"/>
            <w:left w:val="none" w:sz="0" w:space="0" w:color="auto"/>
            <w:bottom w:val="none" w:sz="0" w:space="0" w:color="auto"/>
            <w:right w:val="none" w:sz="0" w:space="0" w:color="auto"/>
          </w:divBdr>
        </w:div>
        <w:div w:id="1679888255">
          <w:marLeft w:val="0"/>
          <w:marRight w:val="0"/>
          <w:marTop w:val="0"/>
          <w:marBottom w:val="0"/>
          <w:divBdr>
            <w:top w:val="none" w:sz="0" w:space="0" w:color="auto"/>
            <w:left w:val="none" w:sz="0" w:space="0" w:color="auto"/>
            <w:bottom w:val="none" w:sz="0" w:space="0" w:color="auto"/>
            <w:right w:val="none" w:sz="0" w:space="0" w:color="auto"/>
          </w:divBdr>
        </w:div>
        <w:div w:id="1960839419">
          <w:marLeft w:val="0"/>
          <w:marRight w:val="0"/>
          <w:marTop w:val="0"/>
          <w:marBottom w:val="0"/>
          <w:divBdr>
            <w:top w:val="none" w:sz="0" w:space="0" w:color="auto"/>
            <w:left w:val="none" w:sz="0" w:space="0" w:color="auto"/>
            <w:bottom w:val="none" w:sz="0" w:space="0" w:color="auto"/>
            <w:right w:val="none" w:sz="0" w:space="0" w:color="auto"/>
          </w:divBdr>
        </w:div>
        <w:div w:id="2113238853">
          <w:marLeft w:val="0"/>
          <w:marRight w:val="0"/>
          <w:marTop w:val="0"/>
          <w:marBottom w:val="0"/>
          <w:divBdr>
            <w:top w:val="none" w:sz="0" w:space="0" w:color="auto"/>
            <w:left w:val="none" w:sz="0" w:space="0" w:color="auto"/>
            <w:bottom w:val="none" w:sz="0" w:space="0" w:color="auto"/>
            <w:right w:val="none" w:sz="0" w:space="0" w:color="auto"/>
          </w:divBdr>
        </w:div>
        <w:div w:id="765074210">
          <w:marLeft w:val="0"/>
          <w:marRight w:val="0"/>
          <w:marTop w:val="0"/>
          <w:marBottom w:val="0"/>
          <w:divBdr>
            <w:top w:val="none" w:sz="0" w:space="0" w:color="auto"/>
            <w:left w:val="none" w:sz="0" w:space="0" w:color="auto"/>
            <w:bottom w:val="none" w:sz="0" w:space="0" w:color="auto"/>
            <w:right w:val="none" w:sz="0" w:space="0" w:color="auto"/>
          </w:divBdr>
        </w:div>
        <w:div w:id="2013147228">
          <w:marLeft w:val="0"/>
          <w:marRight w:val="0"/>
          <w:marTop w:val="0"/>
          <w:marBottom w:val="0"/>
          <w:divBdr>
            <w:top w:val="none" w:sz="0" w:space="0" w:color="auto"/>
            <w:left w:val="none" w:sz="0" w:space="0" w:color="auto"/>
            <w:bottom w:val="none" w:sz="0" w:space="0" w:color="auto"/>
            <w:right w:val="none" w:sz="0" w:space="0" w:color="auto"/>
          </w:divBdr>
        </w:div>
        <w:div w:id="1535918565">
          <w:marLeft w:val="0"/>
          <w:marRight w:val="0"/>
          <w:marTop w:val="0"/>
          <w:marBottom w:val="0"/>
          <w:divBdr>
            <w:top w:val="none" w:sz="0" w:space="0" w:color="auto"/>
            <w:left w:val="none" w:sz="0" w:space="0" w:color="auto"/>
            <w:bottom w:val="none" w:sz="0" w:space="0" w:color="auto"/>
            <w:right w:val="none" w:sz="0" w:space="0" w:color="auto"/>
          </w:divBdr>
        </w:div>
        <w:div w:id="336079266">
          <w:marLeft w:val="0"/>
          <w:marRight w:val="0"/>
          <w:marTop w:val="0"/>
          <w:marBottom w:val="0"/>
          <w:divBdr>
            <w:top w:val="none" w:sz="0" w:space="0" w:color="auto"/>
            <w:left w:val="none" w:sz="0" w:space="0" w:color="auto"/>
            <w:bottom w:val="none" w:sz="0" w:space="0" w:color="auto"/>
            <w:right w:val="none" w:sz="0" w:space="0" w:color="auto"/>
          </w:divBdr>
        </w:div>
        <w:div w:id="1092119863">
          <w:marLeft w:val="0"/>
          <w:marRight w:val="0"/>
          <w:marTop w:val="0"/>
          <w:marBottom w:val="0"/>
          <w:divBdr>
            <w:top w:val="none" w:sz="0" w:space="0" w:color="auto"/>
            <w:left w:val="none" w:sz="0" w:space="0" w:color="auto"/>
            <w:bottom w:val="none" w:sz="0" w:space="0" w:color="auto"/>
            <w:right w:val="none" w:sz="0" w:space="0" w:color="auto"/>
          </w:divBdr>
        </w:div>
        <w:div w:id="2001928635">
          <w:marLeft w:val="0"/>
          <w:marRight w:val="0"/>
          <w:marTop w:val="0"/>
          <w:marBottom w:val="0"/>
          <w:divBdr>
            <w:top w:val="none" w:sz="0" w:space="0" w:color="auto"/>
            <w:left w:val="none" w:sz="0" w:space="0" w:color="auto"/>
            <w:bottom w:val="none" w:sz="0" w:space="0" w:color="auto"/>
            <w:right w:val="none" w:sz="0" w:space="0" w:color="auto"/>
          </w:divBdr>
        </w:div>
        <w:div w:id="1606110095">
          <w:marLeft w:val="0"/>
          <w:marRight w:val="0"/>
          <w:marTop w:val="0"/>
          <w:marBottom w:val="0"/>
          <w:divBdr>
            <w:top w:val="none" w:sz="0" w:space="0" w:color="auto"/>
            <w:left w:val="none" w:sz="0" w:space="0" w:color="auto"/>
            <w:bottom w:val="none" w:sz="0" w:space="0" w:color="auto"/>
            <w:right w:val="none" w:sz="0" w:space="0" w:color="auto"/>
          </w:divBdr>
        </w:div>
        <w:div w:id="993067593">
          <w:marLeft w:val="0"/>
          <w:marRight w:val="0"/>
          <w:marTop w:val="0"/>
          <w:marBottom w:val="0"/>
          <w:divBdr>
            <w:top w:val="none" w:sz="0" w:space="0" w:color="auto"/>
            <w:left w:val="none" w:sz="0" w:space="0" w:color="auto"/>
            <w:bottom w:val="none" w:sz="0" w:space="0" w:color="auto"/>
            <w:right w:val="none" w:sz="0" w:space="0" w:color="auto"/>
          </w:divBdr>
        </w:div>
        <w:div w:id="566960601">
          <w:marLeft w:val="0"/>
          <w:marRight w:val="0"/>
          <w:marTop w:val="0"/>
          <w:marBottom w:val="0"/>
          <w:divBdr>
            <w:top w:val="none" w:sz="0" w:space="0" w:color="auto"/>
            <w:left w:val="none" w:sz="0" w:space="0" w:color="auto"/>
            <w:bottom w:val="none" w:sz="0" w:space="0" w:color="auto"/>
            <w:right w:val="none" w:sz="0" w:space="0" w:color="auto"/>
          </w:divBdr>
        </w:div>
        <w:div w:id="341081951">
          <w:marLeft w:val="0"/>
          <w:marRight w:val="0"/>
          <w:marTop w:val="0"/>
          <w:marBottom w:val="0"/>
          <w:divBdr>
            <w:top w:val="none" w:sz="0" w:space="0" w:color="auto"/>
            <w:left w:val="none" w:sz="0" w:space="0" w:color="auto"/>
            <w:bottom w:val="none" w:sz="0" w:space="0" w:color="auto"/>
            <w:right w:val="none" w:sz="0" w:space="0" w:color="auto"/>
          </w:divBdr>
        </w:div>
        <w:div w:id="295837755">
          <w:marLeft w:val="0"/>
          <w:marRight w:val="0"/>
          <w:marTop w:val="0"/>
          <w:marBottom w:val="0"/>
          <w:divBdr>
            <w:top w:val="none" w:sz="0" w:space="0" w:color="auto"/>
            <w:left w:val="none" w:sz="0" w:space="0" w:color="auto"/>
            <w:bottom w:val="none" w:sz="0" w:space="0" w:color="auto"/>
            <w:right w:val="none" w:sz="0" w:space="0" w:color="auto"/>
          </w:divBdr>
        </w:div>
        <w:div w:id="2042657444">
          <w:marLeft w:val="0"/>
          <w:marRight w:val="0"/>
          <w:marTop w:val="0"/>
          <w:marBottom w:val="0"/>
          <w:divBdr>
            <w:top w:val="none" w:sz="0" w:space="0" w:color="auto"/>
            <w:left w:val="none" w:sz="0" w:space="0" w:color="auto"/>
            <w:bottom w:val="none" w:sz="0" w:space="0" w:color="auto"/>
            <w:right w:val="none" w:sz="0" w:space="0" w:color="auto"/>
          </w:divBdr>
        </w:div>
        <w:div w:id="224684634">
          <w:marLeft w:val="0"/>
          <w:marRight w:val="0"/>
          <w:marTop w:val="0"/>
          <w:marBottom w:val="0"/>
          <w:divBdr>
            <w:top w:val="none" w:sz="0" w:space="0" w:color="auto"/>
            <w:left w:val="none" w:sz="0" w:space="0" w:color="auto"/>
            <w:bottom w:val="none" w:sz="0" w:space="0" w:color="auto"/>
            <w:right w:val="none" w:sz="0" w:space="0" w:color="auto"/>
          </w:divBdr>
        </w:div>
        <w:div w:id="829562914">
          <w:marLeft w:val="0"/>
          <w:marRight w:val="0"/>
          <w:marTop w:val="0"/>
          <w:marBottom w:val="0"/>
          <w:divBdr>
            <w:top w:val="none" w:sz="0" w:space="0" w:color="auto"/>
            <w:left w:val="none" w:sz="0" w:space="0" w:color="auto"/>
            <w:bottom w:val="none" w:sz="0" w:space="0" w:color="auto"/>
            <w:right w:val="none" w:sz="0" w:space="0" w:color="auto"/>
          </w:divBdr>
        </w:div>
        <w:div w:id="1118992294">
          <w:marLeft w:val="0"/>
          <w:marRight w:val="0"/>
          <w:marTop w:val="0"/>
          <w:marBottom w:val="0"/>
          <w:divBdr>
            <w:top w:val="none" w:sz="0" w:space="0" w:color="auto"/>
            <w:left w:val="none" w:sz="0" w:space="0" w:color="auto"/>
            <w:bottom w:val="none" w:sz="0" w:space="0" w:color="auto"/>
            <w:right w:val="none" w:sz="0" w:space="0" w:color="auto"/>
          </w:divBdr>
        </w:div>
        <w:div w:id="1004161607">
          <w:marLeft w:val="0"/>
          <w:marRight w:val="0"/>
          <w:marTop w:val="0"/>
          <w:marBottom w:val="0"/>
          <w:divBdr>
            <w:top w:val="none" w:sz="0" w:space="0" w:color="auto"/>
            <w:left w:val="none" w:sz="0" w:space="0" w:color="auto"/>
            <w:bottom w:val="none" w:sz="0" w:space="0" w:color="auto"/>
            <w:right w:val="none" w:sz="0" w:space="0" w:color="auto"/>
          </w:divBdr>
        </w:div>
        <w:div w:id="433134512">
          <w:marLeft w:val="0"/>
          <w:marRight w:val="0"/>
          <w:marTop w:val="0"/>
          <w:marBottom w:val="0"/>
          <w:divBdr>
            <w:top w:val="none" w:sz="0" w:space="0" w:color="auto"/>
            <w:left w:val="none" w:sz="0" w:space="0" w:color="auto"/>
            <w:bottom w:val="none" w:sz="0" w:space="0" w:color="auto"/>
            <w:right w:val="none" w:sz="0" w:space="0" w:color="auto"/>
          </w:divBdr>
        </w:div>
        <w:div w:id="1013919396">
          <w:marLeft w:val="0"/>
          <w:marRight w:val="0"/>
          <w:marTop w:val="0"/>
          <w:marBottom w:val="0"/>
          <w:divBdr>
            <w:top w:val="none" w:sz="0" w:space="0" w:color="auto"/>
            <w:left w:val="none" w:sz="0" w:space="0" w:color="auto"/>
            <w:bottom w:val="none" w:sz="0" w:space="0" w:color="auto"/>
            <w:right w:val="none" w:sz="0" w:space="0" w:color="auto"/>
          </w:divBdr>
        </w:div>
        <w:div w:id="1697852836">
          <w:marLeft w:val="0"/>
          <w:marRight w:val="0"/>
          <w:marTop w:val="0"/>
          <w:marBottom w:val="0"/>
          <w:divBdr>
            <w:top w:val="none" w:sz="0" w:space="0" w:color="auto"/>
            <w:left w:val="none" w:sz="0" w:space="0" w:color="auto"/>
            <w:bottom w:val="none" w:sz="0" w:space="0" w:color="auto"/>
            <w:right w:val="none" w:sz="0" w:space="0" w:color="auto"/>
          </w:divBdr>
        </w:div>
        <w:div w:id="1950623831">
          <w:marLeft w:val="0"/>
          <w:marRight w:val="0"/>
          <w:marTop w:val="0"/>
          <w:marBottom w:val="0"/>
          <w:divBdr>
            <w:top w:val="none" w:sz="0" w:space="0" w:color="auto"/>
            <w:left w:val="none" w:sz="0" w:space="0" w:color="auto"/>
            <w:bottom w:val="none" w:sz="0" w:space="0" w:color="auto"/>
            <w:right w:val="none" w:sz="0" w:space="0" w:color="auto"/>
          </w:divBdr>
        </w:div>
        <w:div w:id="878397546">
          <w:marLeft w:val="0"/>
          <w:marRight w:val="0"/>
          <w:marTop w:val="0"/>
          <w:marBottom w:val="0"/>
          <w:divBdr>
            <w:top w:val="none" w:sz="0" w:space="0" w:color="auto"/>
            <w:left w:val="none" w:sz="0" w:space="0" w:color="auto"/>
            <w:bottom w:val="none" w:sz="0" w:space="0" w:color="auto"/>
            <w:right w:val="none" w:sz="0" w:space="0" w:color="auto"/>
          </w:divBdr>
        </w:div>
        <w:div w:id="599685495">
          <w:marLeft w:val="0"/>
          <w:marRight w:val="0"/>
          <w:marTop w:val="0"/>
          <w:marBottom w:val="0"/>
          <w:divBdr>
            <w:top w:val="none" w:sz="0" w:space="0" w:color="auto"/>
            <w:left w:val="none" w:sz="0" w:space="0" w:color="auto"/>
            <w:bottom w:val="none" w:sz="0" w:space="0" w:color="auto"/>
            <w:right w:val="none" w:sz="0" w:space="0" w:color="auto"/>
          </w:divBdr>
        </w:div>
        <w:div w:id="107433629">
          <w:marLeft w:val="0"/>
          <w:marRight w:val="0"/>
          <w:marTop w:val="0"/>
          <w:marBottom w:val="0"/>
          <w:divBdr>
            <w:top w:val="none" w:sz="0" w:space="0" w:color="auto"/>
            <w:left w:val="none" w:sz="0" w:space="0" w:color="auto"/>
            <w:bottom w:val="none" w:sz="0" w:space="0" w:color="auto"/>
            <w:right w:val="none" w:sz="0" w:space="0" w:color="auto"/>
          </w:divBdr>
        </w:div>
        <w:div w:id="126315190">
          <w:marLeft w:val="0"/>
          <w:marRight w:val="0"/>
          <w:marTop w:val="0"/>
          <w:marBottom w:val="0"/>
          <w:divBdr>
            <w:top w:val="none" w:sz="0" w:space="0" w:color="auto"/>
            <w:left w:val="none" w:sz="0" w:space="0" w:color="auto"/>
            <w:bottom w:val="none" w:sz="0" w:space="0" w:color="auto"/>
            <w:right w:val="none" w:sz="0" w:space="0" w:color="auto"/>
          </w:divBdr>
        </w:div>
        <w:div w:id="1628775986">
          <w:marLeft w:val="0"/>
          <w:marRight w:val="0"/>
          <w:marTop w:val="0"/>
          <w:marBottom w:val="0"/>
          <w:divBdr>
            <w:top w:val="none" w:sz="0" w:space="0" w:color="auto"/>
            <w:left w:val="none" w:sz="0" w:space="0" w:color="auto"/>
            <w:bottom w:val="none" w:sz="0" w:space="0" w:color="auto"/>
            <w:right w:val="none" w:sz="0" w:space="0" w:color="auto"/>
          </w:divBdr>
        </w:div>
        <w:div w:id="1632861224">
          <w:marLeft w:val="0"/>
          <w:marRight w:val="0"/>
          <w:marTop w:val="0"/>
          <w:marBottom w:val="0"/>
          <w:divBdr>
            <w:top w:val="none" w:sz="0" w:space="0" w:color="auto"/>
            <w:left w:val="none" w:sz="0" w:space="0" w:color="auto"/>
            <w:bottom w:val="none" w:sz="0" w:space="0" w:color="auto"/>
            <w:right w:val="none" w:sz="0" w:space="0" w:color="auto"/>
          </w:divBdr>
        </w:div>
        <w:div w:id="760103480">
          <w:marLeft w:val="0"/>
          <w:marRight w:val="0"/>
          <w:marTop w:val="0"/>
          <w:marBottom w:val="0"/>
          <w:divBdr>
            <w:top w:val="none" w:sz="0" w:space="0" w:color="auto"/>
            <w:left w:val="none" w:sz="0" w:space="0" w:color="auto"/>
            <w:bottom w:val="none" w:sz="0" w:space="0" w:color="auto"/>
            <w:right w:val="none" w:sz="0" w:space="0" w:color="auto"/>
          </w:divBdr>
        </w:div>
        <w:div w:id="1941987087">
          <w:marLeft w:val="0"/>
          <w:marRight w:val="0"/>
          <w:marTop w:val="0"/>
          <w:marBottom w:val="0"/>
          <w:divBdr>
            <w:top w:val="none" w:sz="0" w:space="0" w:color="auto"/>
            <w:left w:val="none" w:sz="0" w:space="0" w:color="auto"/>
            <w:bottom w:val="none" w:sz="0" w:space="0" w:color="auto"/>
            <w:right w:val="none" w:sz="0" w:space="0" w:color="auto"/>
          </w:divBdr>
        </w:div>
        <w:div w:id="1449616727">
          <w:marLeft w:val="0"/>
          <w:marRight w:val="0"/>
          <w:marTop w:val="0"/>
          <w:marBottom w:val="0"/>
          <w:divBdr>
            <w:top w:val="none" w:sz="0" w:space="0" w:color="auto"/>
            <w:left w:val="none" w:sz="0" w:space="0" w:color="auto"/>
            <w:bottom w:val="none" w:sz="0" w:space="0" w:color="auto"/>
            <w:right w:val="none" w:sz="0" w:space="0" w:color="auto"/>
          </w:divBdr>
        </w:div>
        <w:div w:id="1885827637">
          <w:marLeft w:val="0"/>
          <w:marRight w:val="0"/>
          <w:marTop w:val="0"/>
          <w:marBottom w:val="0"/>
          <w:divBdr>
            <w:top w:val="none" w:sz="0" w:space="0" w:color="auto"/>
            <w:left w:val="none" w:sz="0" w:space="0" w:color="auto"/>
            <w:bottom w:val="none" w:sz="0" w:space="0" w:color="auto"/>
            <w:right w:val="none" w:sz="0" w:space="0" w:color="auto"/>
          </w:divBdr>
        </w:div>
        <w:div w:id="2123261836">
          <w:marLeft w:val="0"/>
          <w:marRight w:val="0"/>
          <w:marTop w:val="0"/>
          <w:marBottom w:val="0"/>
          <w:divBdr>
            <w:top w:val="none" w:sz="0" w:space="0" w:color="auto"/>
            <w:left w:val="none" w:sz="0" w:space="0" w:color="auto"/>
            <w:bottom w:val="none" w:sz="0" w:space="0" w:color="auto"/>
            <w:right w:val="none" w:sz="0" w:space="0" w:color="auto"/>
          </w:divBdr>
        </w:div>
        <w:div w:id="2826123">
          <w:marLeft w:val="0"/>
          <w:marRight w:val="0"/>
          <w:marTop w:val="0"/>
          <w:marBottom w:val="0"/>
          <w:divBdr>
            <w:top w:val="none" w:sz="0" w:space="0" w:color="auto"/>
            <w:left w:val="none" w:sz="0" w:space="0" w:color="auto"/>
            <w:bottom w:val="none" w:sz="0" w:space="0" w:color="auto"/>
            <w:right w:val="none" w:sz="0" w:space="0" w:color="auto"/>
          </w:divBdr>
        </w:div>
        <w:div w:id="978611693">
          <w:marLeft w:val="0"/>
          <w:marRight w:val="0"/>
          <w:marTop w:val="0"/>
          <w:marBottom w:val="0"/>
          <w:divBdr>
            <w:top w:val="none" w:sz="0" w:space="0" w:color="auto"/>
            <w:left w:val="none" w:sz="0" w:space="0" w:color="auto"/>
            <w:bottom w:val="none" w:sz="0" w:space="0" w:color="auto"/>
            <w:right w:val="none" w:sz="0" w:space="0" w:color="auto"/>
          </w:divBdr>
        </w:div>
        <w:div w:id="1476488610">
          <w:marLeft w:val="0"/>
          <w:marRight w:val="0"/>
          <w:marTop w:val="0"/>
          <w:marBottom w:val="0"/>
          <w:divBdr>
            <w:top w:val="none" w:sz="0" w:space="0" w:color="auto"/>
            <w:left w:val="none" w:sz="0" w:space="0" w:color="auto"/>
            <w:bottom w:val="none" w:sz="0" w:space="0" w:color="auto"/>
            <w:right w:val="none" w:sz="0" w:space="0" w:color="auto"/>
          </w:divBdr>
        </w:div>
        <w:div w:id="411242124">
          <w:marLeft w:val="0"/>
          <w:marRight w:val="0"/>
          <w:marTop w:val="0"/>
          <w:marBottom w:val="0"/>
          <w:divBdr>
            <w:top w:val="none" w:sz="0" w:space="0" w:color="auto"/>
            <w:left w:val="none" w:sz="0" w:space="0" w:color="auto"/>
            <w:bottom w:val="none" w:sz="0" w:space="0" w:color="auto"/>
            <w:right w:val="none" w:sz="0" w:space="0" w:color="auto"/>
          </w:divBdr>
        </w:div>
        <w:div w:id="433209432">
          <w:marLeft w:val="0"/>
          <w:marRight w:val="0"/>
          <w:marTop w:val="0"/>
          <w:marBottom w:val="0"/>
          <w:divBdr>
            <w:top w:val="none" w:sz="0" w:space="0" w:color="auto"/>
            <w:left w:val="none" w:sz="0" w:space="0" w:color="auto"/>
            <w:bottom w:val="none" w:sz="0" w:space="0" w:color="auto"/>
            <w:right w:val="none" w:sz="0" w:space="0" w:color="auto"/>
          </w:divBdr>
        </w:div>
        <w:div w:id="340742334">
          <w:marLeft w:val="0"/>
          <w:marRight w:val="0"/>
          <w:marTop w:val="0"/>
          <w:marBottom w:val="0"/>
          <w:divBdr>
            <w:top w:val="none" w:sz="0" w:space="0" w:color="auto"/>
            <w:left w:val="none" w:sz="0" w:space="0" w:color="auto"/>
            <w:bottom w:val="none" w:sz="0" w:space="0" w:color="auto"/>
            <w:right w:val="none" w:sz="0" w:space="0" w:color="auto"/>
          </w:divBdr>
        </w:div>
        <w:div w:id="834686763">
          <w:marLeft w:val="0"/>
          <w:marRight w:val="0"/>
          <w:marTop w:val="0"/>
          <w:marBottom w:val="0"/>
          <w:divBdr>
            <w:top w:val="none" w:sz="0" w:space="0" w:color="auto"/>
            <w:left w:val="none" w:sz="0" w:space="0" w:color="auto"/>
            <w:bottom w:val="none" w:sz="0" w:space="0" w:color="auto"/>
            <w:right w:val="none" w:sz="0" w:space="0" w:color="auto"/>
          </w:divBdr>
        </w:div>
        <w:div w:id="1407343039">
          <w:marLeft w:val="0"/>
          <w:marRight w:val="0"/>
          <w:marTop w:val="0"/>
          <w:marBottom w:val="0"/>
          <w:divBdr>
            <w:top w:val="none" w:sz="0" w:space="0" w:color="auto"/>
            <w:left w:val="none" w:sz="0" w:space="0" w:color="auto"/>
            <w:bottom w:val="none" w:sz="0" w:space="0" w:color="auto"/>
            <w:right w:val="none" w:sz="0" w:space="0" w:color="auto"/>
          </w:divBdr>
        </w:div>
        <w:div w:id="643119465">
          <w:marLeft w:val="0"/>
          <w:marRight w:val="0"/>
          <w:marTop w:val="0"/>
          <w:marBottom w:val="0"/>
          <w:divBdr>
            <w:top w:val="none" w:sz="0" w:space="0" w:color="auto"/>
            <w:left w:val="none" w:sz="0" w:space="0" w:color="auto"/>
            <w:bottom w:val="none" w:sz="0" w:space="0" w:color="auto"/>
            <w:right w:val="none" w:sz="0" w:space="0" w:color="auto"/>
          </w:divBdr>
        </w:div>
        <w:div w:id="399519023">
          <w:marLeft w:val="0"/>
          <w:marRight w:val="0"/>
          <w:marTop w:val="0"/>
          <w:marBottom w:val="0"/>
          <w:divBdr>
            <w:top w:val="none" w:sz="0" w:space="0" w:color="auto"/>
            <w:left w:val="none" w:sz="0" w:space="0" w:color="auto"/>
            <w:bottom w:val="none" w:sz="0" w:space="0" w:color="auto"/>
            <w:right w:val="none" w:sz="0" w:space="0" w:color="auto"/>
          </w:divBdr>
        </w:div>
        <w:div w:id="1719157825">
          <w:marLeft w:val="0"/>
          <w:marRight w:val="0"/>
          <w:marTop w:val="0"/>
          <w:marBottom w:val="0"/>
          <w:divBdr>
            <w:top w:val="none" w:sz="0" w:space="0" w:color="auto"/>
            <w:left w:val="none" w:sz="0" w:space="0" w:color="auto"/>
            <w:bottom w:val="none" w:sz="0" w:space="0" w:color="auto"/>
            <w:right w:val="none" w:sz="0" w:space="0" w:color="auto"/>
          </w:divBdr>
        </w:div>
        <w:div w:id="82607697">
          <w:marLeft w:val="0"/>
          <w:marRight w:val="0"/>
          <w:marTop w:val="0"/>
          <w:marBottom w:val="0"/>
          <w:divBdr>
            <w:top w:val="none" w:sz="0" w:space="0" w:color="auto"/>
            <w:left w:val="none" w:sz="0" w:space="0" w:color="auto"/>
            <w:bottom w:val="none" w:sz="0" w:space="0" w:color="auto"/>
            <w:right w:val="none" w:sz="0" w:space="0" w:color="auto"/>
          </w:divBdr>
        </w:div>
        <w:div w:id="475293704">
          <w:marLeft w:val="0"/>
          <w:marRight w:val="0"/>
          <w:marTop w:val="0"/>
          <w:marBottom w:val="0"/>
          <w:divBdr>
            <w:top w:val="none" w:sz="0" w:space="0" w:color="auto"/>
            <w:left w:val="none" w:sz="0" w:space="0" w:color="auto"/>
            <w:bottom w:val="none" w:sz="0" w:space="0" w:color="auto"/>
            <w:right w:val="none" w:sz="0" w:space="0" w:color="auto"/>
          </w:divBdr>
        </w:div>
        <w:div w:id="265577528">
          <w:marLeft w:val="0"/>
          <w:marRight w:val="0"/>
          <w:marTop w:val="0"/>
          <w:marBottom w:val="0"/>
          <w:divBdr>
            <w:top w:val="none" w:sz="0" w:space="0" w:color="auto"/>
            <w:left w:val="none" w:sz="0" w:space="0" w:color="auto"/>
            <w:bottom w:val="none" w:sz="0" w:space="0" w:color="auto"/>
            <w:right w:val="none" w:sz="0" w:space="0" w:color="auto"/>
          </w:divBdr>
        </w:div>
        <w:div w:id="1433086069">
          <w:marLeft w:val="0"/>
          <w:marRight w:val="0"/>
          <w:marTop w:val="0"/>
          <w:marBottom w:val="0"/>
          <w:divBdr>
            <w:top w:val="none" w:sz="0" w:space="0" w:color="auto"/>
            <w:left w:val="none" w:sz="0" w:space="0" w:color="auto"/>
            <w:bottom w:val="none" w:sz="0" w:space="0" w:color="auto"/>
            <w:right w:val="none" w:sz="0" w:space="0" w:color="auto"/>
          </w:divBdr>
        </w:div>
        <w:div w:id="617177781">
          <w:marLeft w:val="0"/>
          <w:marRight w:val="0"/>
          <w:marTop w:val="0"/>
          <w:marBottom w:val="0"/>
          <w:divBdr>
            <w:top w:val="none" w:sz="0" w:space="0" w:color="auto"/>
            <w:left w:val="none" w:sz="0" w:space="0" w:color="auto"/>
            <w:bottom w:val="none" w:sz="0" w:space="0" w:color="auto"/>
            <w:right w:val="none" w:sz="0" w:space="0" w:color="auto"/>
          </w:divBdr>
        </w:div>
      </w:divsChild>
    </w:div>
    <w:div w:id="1808863049">
      <w:bodyDiv w:val="1"/>
      <w:marLeft w:val="0"/>
      <w:marRight w:val="0"/>
      <w:marTop w:val="0"/>
      <w:marBottom w:val="0"/>
      <w:divBdr>
        <w:top w:val="none" w:sz="0" w:space="0" w:color="auto"/>
        <w:left w:val="none" w:sz="0" w:space="0" w:color="auto"/>
        <w:bottom w:val="none" w:sz="0" w:space="0" w:color="auto"/>
        <w:right w:val="none" w:sz="0" w:space="0" w:color="auto"/>
      </w:divBdr>
      <w:divsChild>
        <w:div w:id="282460993">
          <w:marLeft w:val="0"/>
          <w:marRight w:val="0"/>
          <w:marTop w:val="0"/>
          <w:marBottom w:val="0"/>
          <w:divBdr>
            <w:top w:val="none" w:sz="0" w:space="0" w:color="auto"/>
            <w:left w:val="none" w:sz="0" w:space="0" w:color="auto"/>
            <w:bottom w:val="none" w:sz="0" w:space="0" w:color="auto"/>
            <w:right w:val="none" w:sz="0" w:space="0" w:color="auto"/>
          </w:divBdr>
        </w:div>
        <w:div w:id="1531726678">
          <w:marLeft w:val="0"/>
          <w:marRight w:val="0"/>
          <w:marTop w:val="0"/>
          <w:marBottom w:val="0"/>
          <w:divBdr>
            <w:top w:val="none" w:sz="0" w:space="0" w:color="auto"/>
            <w:left w:val="none" w:sz="0" w:space="0" w:color="auto"/>
            <w:bottom w:val="none" w:sz="0" w:space="0" w:color="auto"/>
            <w:right w:val="none" w:sz="0" w:space="0" w:color="auto"/>
          </w:divBdr>
        </w:div>
        <w:div w:id="1142580645">
          <w:marLeft w:val="0"/>
          <w:marRight w:val="0"/>
          <w:marTop w:val="0"/>
          <w:marBottom w:val="0"/>
          <w:divBdr>
            <w:top w:val="none" w:sz="0" w:space="0" w:color="auto"/>
            <w:left w:val="none" w:sz="0" w:space="0" w:color="auto"/>
            <w:bottom w:val="none" w:sz="0" w:space="0" w:color="auto"/>
            <w:right w:val="none" w:sz="0" w:space="0" w:color="auto"/>
          </w:divBdr>
        </w:div>
        <w:div w:id="336545056">
          <w:marLeft w:val="0"/>
          <w:marRight w:val="0"/>
          <w:marTop w:val="0"/>
          <w:marBottom w:val="0"/>
          <w:divBdr>
            <w:top w:val="none" w:sz="0" w:space="0" w:color="auto"/>
            <w:left w:val="none" w:sz="0" w:space="0" w:color="auto"/>
            <w:bottom w:val="none" w:sz="0" w:space="0" w:color="auto"/>
            <w:right w:val="none" w:sz="0" w:space="0" w:color="auto"/>
          </w:divBdr>
        </w:div>
      </w:divsChild>
    </w:div>
    <w:div w:id="1819297122">
      <w:bodyDiv w:val="1"/>
      <w:marLeft w:val="0"/>
      <w:marRight w:val="0"/>
      <w:marTop w:val="0"/>
      <w:marBottom w:val="0"/>
      <w:divBdr>
        <w:top w:val="none" w:sz="0" w:space="0" w:color="auto"/>
        <w:left w:val="none" w:sz="0" w:space="0" w:color="auto"/>
        <w:bottom w:val="none" w:sz="0" w:space="0" w:color="auto"/>
        <w:right w:val="none" w:sz="0" w:space="0" w:color="auto"/>
      </w:divBdr>
      <w:divsChild>
        <w:div w:id="2093577595">
          <w:marLeft w:val="0"/>
          <w:marRight w:val="0"/>
          <w:marTop w:val="0"/>
          <w:marBottom w:val="0"/>
          <w:divBdr>
            <w:top w:val="none" w:sz="0" w:space="0" w:color="auto"/>
            <w:left w:val="none" w:sz="0" w:space="0" w:color="auto"/>
            <w:bottom w:val="none" w:sz="0" w:space="0" w:color="auto"/>
            <w:right w:val="none" w:sz="0" w:space="0" w:color="auto"/>
          </w:divBdr>
        </w:div>
        <w:div w:id="695890330">
          <w:marLeft w:val="0"/>
          <w:marRight w:val="0"/>
          <w:marTop w:val="0"/>
          <w:marBottom w:val="0"/>
          <w:divBdr>
            <w:top w:val="none" w:sz="0" w:space="0" w:color="auto"/>
            <w:left w:val="none" w:sz="0" w:space="0" w:color="auto"/>
            <w:bottom w:val="none" w:sz="0" w:space="0" w:color="auto"/>
            <w:right w:val="none" w:sz="0" w:space="0" w:color="auto"/>
          </w:divBdr>
        </w:div>
        <w:div w:id="958298520">
          <w:marLeft w:val="0"/>
          <w:marRight w:val="0"/>
          <w:marTop w:val="0"/>
          <w:marBottom w:val="0"/>
          <w:divBdr>
            <w:top w:val="none" w:sz="0" w:space="0" w:color="auto"/>
            <w:left w:val="none" w:sz="0" w:space="0" w:color="auto"/>
            <w:bottom w:val="none" w:sz="0" w:space="0" w:color="auto"/>
            <w:right w:val="none" w:sz="0" w:space="0" w:color="auto"/>
          </w:divBdr>
        </w:div>
        <w:div w:id="1868063885">
          <w:marLeft w:val="0"/>
          <w:marRight w:val="0"/>
          <w:marTop w:val="0"/>
          <w:marBottom w:val="0"/>
          <w:divBdr>
            <w:top w:val="none" w:sz="0" w:space="0" w:color="auto"/>
            <w:left w:val="none" w:sz="0" w:space="0" w:color="auto"/>
            <w:bottom w:val="none" w:sz="0" w:space="0" w:color="auto"/>
            <w:right w:val="none" w:sz="0" w:space="0" w:color="auto"/>
          </w:divBdr>
        </w:div>
        <w:div w:id="759528082">
          <w:marLeft w:val="0"/>
          <w:marRight w:val="0"/>
          <w:marTop w:val="0"/>
          <w:marBottom w:val="0"/>
          <w:divBdr>
            <w:top w:val="none" w:sz="0" w:space="0" w:color="auto"/>
            <w:left w:val="none" w:sz="0" w:space="0" w:color="auto"/>
            <w:bottom w:val="none" w:sz="0" w:space="0" w:color="auto"/>
            <w:right w:val="none" w:sz="0" w:space="0" w:color="auto"/>
          </w:divBdr>
        </w:div>
        <w:div w:id="1576935352">
          <w:marLeft w:val="0"/>
          <w:marRight w:val="0"/>
          <w:marTop w:val="0"/>
          <w:marBottom w:val="0"/>
          <w:divBdr>
            <w:top w:val="none" w:sz="0" w:space="0" w:color="auto"/>
            <w:left w:val="none" w:sz="0" w:space="0" w:color="auto"/>
            <w:bottom w:val="none" w:sz="0" w:space="0" w:color="auto"/>
            <w:right w:val="none" w:sz="0" w:space="0" w:color="auto"/>
          </w:divBdr>
        </w:div>
      </w:divsChild>
    </w:div>
    <w:div w:id="1846936325">
      <w:bodyDiv w:val="1"/>
      <w:marLeft w:val="0"/>
      <w:marRight w:val="0"/>
      <w:marTop w:val="0"/>
      <w:marBottom w:val="0"/>
      <w:divBdr>
        <w:top w:val="none" w:sz="0" w:space="0" w:color="auto"/>
        <w:left w:val="none" w:sz="0" w:space="0" w:color="auto"/>
        <w:bottom w:val="none" w:sz="0" w:space="0" w:color="auto"/>
        <w:right w:val="none" w:sz="0" w:space="0" w:color="auto"/>
      </w:divBdr>
      <w:divsChild>
        <w:div w:id="276915161">
          <w:marLeft w:val="0"/>
          <w:marRight w:val="0"/>
          <w:marTop w:val="0"/>
          <w:marBottom w:val="0"/>
          <w:divBdr>
            <w:top w:val="none" w:sz="0" w:space="0" w:color="auto"/>
            <w:left w:val="none" w:sz="0" w:space="0" w:color="auto"/>
            <w:bottom w:val="none" w:sz="0" w:space="0" w:color="auto"/>
            <w:right w:val="none" w:sz="0" w:space="0" w:color="auto"/>
          </w:divBdr>
        </w:div>
        <w:div w:id="849181059">
          <w:marLeft w:val="0"/>
          <w:marRight w:val="0"/>
          <w:marTop w:val="0"/>
          <w:marBottom w:val="0"/>
          <w:divBdr>
            <w:top w:val="none" w:sz="0" w:space="0" w:color="auto"/>
            <w:left w:val="none" w:sz="0" w:space="0" w:color="auto"/>
            <w:bottom w:val="none" w:sz="0" w:space="0" w:color="auto"/>
            <w:right w:val="none" w:sz="0" w:space="0" w:color="auto"/>
          </w:divBdr>
        </w:div>
        <w:div w:id="1221091584">
          <w:marLeft w:val="0"/>
          <w:marRight w:val="0"/>
          <w:marTop w:val="0"/>
          <w:marBottom w:val="0"/>
          <w:divBdr>
            <w:top w:val="none" w:sz="0" w:space="0" w:color="auto"/>
            <w:left w:val="none" w:sz="0" w:space="0" w:color="auto"/>
            <w:bottom w:val="none" w:sz="0" w:space="0" w:color="auto"/>
            <w:right w:val="none" w:sz="0" w:space="0" w:color="auto"/>
          </w:divBdr>
        </w:div>
        <w:div w:id="1325552155">
          <w:marLeft w:val="0"/>
          <w:marRight w:val="0"/>
          <w:marTop w:val="0"/>
          <w:marBottom w:val="0"/>
          <w:divBdr>
            <w:top w:val="none" w:sz="0" w:space="0" w:color="auto"/>
            <w:left w:val="none" w:sz="0" w:space="0" w:color="auto"/>
            <w:bottom w:val="none" w:sz="0" w:space="0" w:color="auto"/>
            <w:right w:val="none" w:sz="0" w:space="0" w:color="auto"/>
          </w:divBdr>
        </w:div>
      </w:divsChild>
    </w:div>
    <w:div w:id="1881628326">
      <w:bodyDiv w:val="1"/>
      <w:marLeft w:val="0"/>
      <w:marRight w:val="0"/>
      <w:marTop w:val="0"/>
      <w:marBottom w:val="0"/>
      <w:divBdr>
        <w:top w:val="none" w:sz="0" w:space="0" w:color="auto"/>
        <w:left w:val="none" w:sz="0" w:space="0" w:color="auto"/>
        <w:bottom w:val="none" w:sz="0" w:space="0" w:color="auto"/>
        <w:right w:val="none" w:sz="0" w:space="0" w:color="auto"/>
      </w:divBdr>
      <w:divsChild>
        <w:div w:id="2045979696">
          <w:marLeft w:val="0"/>
          <w:marRight w:val="0"/>
          <w:marTop w:val="0"/>
          <w:marBottom w:val="0"/>
          <w:divBdr>
            <w:top w:val="none" w:sz="0" w:space="0" w:color="auto"/>
            <w:left w:val="none" w:sz="0" w:space="0" w:color="auto"/>
            <w:bottom w:val="none" w:sz="0" w:space="0" w:color="auto"/>
            <w:right w:val="none" w:sz="0" w:space="0" w:color="auto"/>
          </w:divBdr>
        </w:div>
        <w:div w:id="1435901600">
          <w:marLeft w:val="0"/>
          <w:marRight w:val="0"/>
          <w:marTop w:val="0"/>
          <w:marBottom w:val="0"/>
          <w:divBdr>
            <w:top w:val="none" w:sz="0" w:space="0" w:color="auto"/>
            <w:left w:val="none" w:sz="0" w:space="0" w:color="auto"/>
            <w:bottom w:val="none" w:sz="0" w:space="0" w:color="auto"/>
            <w:right w:val="none" w:sz="0" w:space="0" w:color="auto"/>
          </w:divBdr>
        </w:div>
        <w:div w:id="2096896343">
          <w:marLeft w:val="0"/>
          <w:marRight w:val="0"/>
          <w:marTop w:val="0"/>
          <w:marBottom w:val="0"/>
          <w:divBdr>
            <w:top w:val="none" w:sz="0" w:space="0" w:color="auto"/>
            <w:left w:val="none" w:sz="0" w:space="0" w:color="auto"/>
            <w:bottom w:val="none" w:sz="0" w:space="0" w:color="auto"/>
            <w:right w:val="none" w:sz="0" w:space="0" w:color="auto"/>
          </w:divBdr>
        </w:div>
        <w:div w:id="725375354">
          <w:marLeft w:val="0"/>
          <w:marRight w:val="0"/>
          <w:marTop w:val="0"/>
          <w:marBottom w:val="0"/>
          <w:divBdr>
            <w:top w:val="none" w:sz="0" w:space="0" w:color="auto"/>
            <w:left w:val="none" w:sz="0" w:space="0" w:color="auto"/>
            <w:bottom w:val="none" w:sz="0" w:space="0" w:color="auto"/>
            <w:right w:val="none" w:sz="0" w:space="0" w:color="auto"/>
          </w:divBdr>
        </w:div>
        <w:div w:id="1251086574">
          <w:marLeft w:val="0"/>
          <w:marRight w:val="0"/>
          <w:marTop w:val="0"/>
          <w:marBottom w:val="0"/>
          <w:divBdr>
            <w:top w:val="none" w:sz="0" w:space="0" w:color="auto"/>
            <w:left w:val="none" w:sz="0" w:space="0" w:color="auto"/>
            <w:bottom w:val="none" w:sz="0" w:space="0" w:color="auto"/>
            <w:right w:val="none" w:sz="0" w:space="0" w:color="auto"/>
          </w:divBdr>
        </w:div>
        <w:div w:id="144248067">
          <w:marLeft w:val="0"/>
          <w:marRight w:val="0"/>
          <w:marTop w:val="0"/>
          <w:marBottom w:val="0"/>
          <w:divBdr>
            <w:top w:val="none" w:sz="0" w:space="0" w:color="auto"/>
            <w:left w:val="none" w:sz="0" w:space="0" w:color="auto"/>
            <w:bottom w:val="none" w:sz="0" w:space="0" w:color="auto"/>
            <w:right w:val="none" w:sz="0" w:space="0" w:color="auto"/>
          </w:divBdr>
        </w:div>
        <w:div w:id="1178428358">
          <w:marLeft w:val="0"/>
          <w:marRight w:val="0"/>
          <w:marTop w:val="0"/>
          <w:marBottom w:val="0"/>
          <w:divBdr>
            <w:top w:val="none" w:sz="0" w:space="0" w:color="auto"/>
            <w:left w:val="none" w:sz="0" w:space="0" w:color="auto"/>
            <w:bottom w:val="none" w:sz="0" w:space="0" w:color="auto"/>
            <w:right w:val="none" w:sz="0" w:space="0" w:color="auto"/>
          </w:divBdr>
        </w:div>
        <w:div w:id="1112549571">
          <w:marLeft w:val="0"/>
          <w:marRight w:val="0"/>
          <w:marTop w:val="0"/>
          <w:marBottom w:val="0"/>
          <w:divBdr>
            <w:top w:val="none" w:sz="0" w:space="0" w:color="auto"/>
            <w:left w:val="none" w:sz="0" w:space="0" w:color="auto"/>
            <w:bottom w:val="none" w:sz="0" w:space="0" w:color="auto"/>
            <w:right w:val="none" w:sz="0" w:space="0" w:color="auto"/>
          </w:divBdr>
        </w:div>
        <w:div w:id="1197425355">
          <w:marLeft w:val="0"/>
          <w:marRight w:val="0"/>
          <w:marTop w:val="0"/>
          <w:marBottom w:val="0"/>
          <w:divBdr>
            <w:top w:val="none" w:sz="0" w:space="0" w:color="auto"/>
            <w:left w:val="none" w:sz="0" w:space="0" w:color="auto"/>
            <w:bottom w:val="none" w:sz="0" w:space="0" w:color="auto"/>
            <w:right w:val="none" w:sz="0" w:space="0" w:color="auto"/>
          </w:divBdr>
        </w:div>
      </w:divsChild>
    </w:div>
    <w:div w:id="1890727663">
      <w:bodyDiv w:val="1"/>
      <w:marLeft w:val="0"/>
      <w:marRight w:val="0"/>
      <w:marTop w:val="0"/>
      <w:marBottom w:val="0"/>
      <w:divBdr>
        <w:top w:val="none" w:sz="0" w:space="0" w:color="auto"/>
        <w:left w:val="none" w:sz="0" w:space="0" w:color="auto"/>
        <w:bottom w:val="none" w:sz="0" w:space="0" w:color="auto"/>
        <w:right w:val="none" w:sz="0" w:space="0" w:color="auto"/>
      </w:divBdr>
      <w:divsChild>
        <w:div w:id="509029955">
          <w:marLeft w:val="0"/>
          <w:marRight w:val="0"/>
          <w:marTop w:val="0"/>
          <w:marBottom w:val="0"/>
          <w:divBdr>
            <w:top w:val="none" w:sz="0" w:space="0" w:color="auto"/>
            <w:left w:val="none" w:sz="0" w:space="0" w:color="auto"/>
            <w:bottom w:val="none" w:sz="0" w:space="0" w:color="auto"/>
            <w:right w:val="none" w:sz="0" w:space="0" w:color="auto"/>
          </w:divBdr>
        </w:div>
        <w:div w:id="1721512308">
          <w:marLeft w:val="0"/>
          <w:marRight w:val="0"/>
          <w:marTop w:val="0"/>
          <w:marBottom w:val="0"/>
          <w:divBdr>
            <w:top w:val="none" w:sz="0" w:space="0" w:color="auto"/>
            <w:left w:val="none" w:sz="0" w:space="0" w:color="auto"/>
            <w:bottom w:val="none" w:sz="0" w:space="0" w:color="auto"/>
            <w:right w:val="none" w:sz="0" w:space="0" w:color="auto"/>
          </w:divBdr>
        </w:div>
        <w:div w:id="1416395652">
          <w:marLeft w:val="0"/>
          <w:marRight w:val="0"/>
          <w:marTop w:val="0"/>
          <w:marBottom w:val="0"/>
          <w:divBdr>
            <w:top w:val="none" w:sz="0" w:space="0" w:color="auto"/>
            <w:left w:val="none" w:sz="0" w:space="0" w:color="auto"/>
            <w:bottom w:val="none" w:sz="0" w:space="0" w:color="auto"/>
            <w:right w:val="none" w:sz="0" w:space="0" w:color="auto"/>
          </w:divBdr>
        </w:div>
        <w:div w:id="589193469">
          <w:marLeft w:val="0"/>
          <w:marRight w:val="0"/>
          <w:marTop w:val="0"/>
          <w:marBottom w:val="0"/>
          <w:divBdr>
            <w:top w:val="none" w:sz="0" w:space="0" w:color="auto"/>
            <w:left w:val="none" w:sz="0" w:space="0" w:color="auto"/>
            <w:bottom w:val="none" w:sz="0" w:space="0" w:color="auto"/>
            <w:right w:val="none" w:sz="0" w:space="0" w:color="auto"/>
          </w:divBdr>
        </w:div>
      </w:divsChild>
    </w:div>
    <w:div w:id="1914585157">
      <w:bodyDiv w:val="1"/>
      <w:marLeft w:val="0"/>
      <w:marRight w:val="0"/>
      <w:marTop w:val="0"/>
      <w:marBottom w:val="0"/>
      <w:divBdr>
        <w:top w:val="none" w:sz="0" w:space="0" w:color="auto"/>
        <w:left w:val="none" w:sz="0" w:space="0" w:color="auto"/>
        <w:bottom w:val="none" w:sz="0" w:space="0" w:color="auto"/>
        <w:right w:val="none" w:sz="0" w:space="0" w:color="auto"/>
      </w:divBdr>
      <w:divsChild>
        <w:div w:id="510027051">
          <w:marLeft w:val="0"/>
          <w:marRight w:val="0"/>
          <w:marTop w:val="0"/>
          <w:marBottom w:val="0"/>
          <w:divBdr>
            <w:top w:val="none" w:sz="0" w:space="0" w:color="auto"/>
            <w:left w:val="none" w:sz="0" w:space="0" w:color="auto"/>
            <w:bottom w:val="none" w:sz="0" w:space="0" w:color="auto"/>
            <w:right w:val="none" w:sz="0" w:space="0" w:color="auto"/>
          </w:divBdr>
        </w:div>
        <w:div w:id="1129858306">
          <w:marLeft w:val="0"/>
          <w:marRight w:val="0"/>
          <w:marTop w:val="0"/>
          <w:marBottom w:val="0"/>
          <w:divBdr>
            <w:top w:val="none" w:sz="0" w:space="0" w:color="auto"/>
            <w:left w:val="none" w:sz="0" w:space="0" w:color="auto"/>
            <w:bottom w:val="none" w:sz="0" w:space="0" w:color="auto"/>
            <w:right w:val="none" w:sz="0" w:space="0" w:color="auto"/>
          </w:divBdr>
        </w:div>
        <w:div w:id="1877307405">
          <w:marLeft w:val="0"/>
          <w:marRight w:val="0"/>
          <w:marTop w:val="0"/>
          <w:marBottom w:val="0"/>
          <w:divBdr>
            <w:top w:val="none" w:sz="0" w:space="0" w:color="auto"/>
            <w:left w:val="none" w:sz="0" w:space="0" w:color="auto"/>
            <w:bottom w:val="none" w:sz="0" w:space="0" w:color="auto"/>
            <w:right w:val="none" w:sz="0" w:space="0" w:color="auto"/>
          </w:divBdr>
        </w:div>
        <w:div w:id="1007561586">
          <w:marLeft w:val="0"/>
          <w:marRight w:val="0"/>
          <w:marTop w:val="0"/>
          <w:marBottom w:val="0"/>
          <w:divBdr>
            <w:top w:val="none" w:sz="0" w:space="0" w:color="auto"/>
            <w:left w:val="none" w:sz="0" w:space="0" w:color="auto"/>
            <w:bottom w:val="none" w:sz="0" w:space="0" w:color="auto"/>
            <w:right w:val="none" w:sz="0" w:space="0" w:color="auto"/>
          </w:divBdr>
        </w:div>
        <w:div w:id="916524569">
          <w:marLeft w:val="0"/>
          <w:marRight w:val="0"/>
          <w:marTop w:val="0"/>
          <w:marBottom w:val="0"/>
          <w:divBdr>
            <w:top w:val="none" w:sz="0" w:space="0" w:color="auto"/>
            <w:left w:val="none" w:sz="0" w:space="0" w:color="auto"/>
            <w:bottom w:val="none" w:sz="0" w:space="0" w:color="auto"/>
            <w:right w:val="none" w:sz="0" w:space="0" w:color="auto"/>
          </w:divBdr>
        </w:div>
        <w:div w:id="1560366047">
          <w:marLeft w:val="0"/>
          <w:marRight w:val="0"/>
          <w:marTop w:val="0"/>
          <w:marBottom w:val="0"/>
          <w:divBdr>
            <w:top w:val="none" w:sz="0" w:space="0" w:color="auto"/>
            <w:left w:val="none" w:sz="0" w:space="0" w:color="auto"/>
            <w:bottom w:val="none" w:sz="0" w:space="0" w:color="auto"/>
            <w:right w:val="none" w:sz="0" w:space="0" w:color="auto"/>
          </w:divBdr>
        </w:div>
        <w:div w:id="1153452411">
          <w:marLeft w:val="0"/>
          <w:marRight w:val="0"/>
          <w:marTop w:val="0"/>
          <w:marBottom w:val="0"/>
          <w:divBdr>
            <w:top w:val="none" w:sz="0" w:space="0" w:color="auto"/>
            <w:left w:val="none" w:sz="0" w:space="0" w:color="auto"/>
            <w:bottom w:val="none" w:sz="0" w:space="0" w:color="auto"/>
            <w:right w:val="none" w:sz="0" w:space="0" w:color="auto"/>
          </w:divBdr>
        </w:div>
        <w:div w:id="374234251">
          <w:marLeft w:val="0"/>
          <w:marRight w:val="0"/>
          <w:marTop w:val="0"/>
          <w:marBottom w:val="0"/>
          <w:divBdr>
            <w:top w:val="none" w:sz="0" w:space="0" w:color="auto"/>
            <w:left w:val="none" w:sz="0" w:space="0" w:color="auto"/>
            <w:bottom w:val="none" w:sz="0" w:space="0" w:color="auto"/>
            <w:right w:val="none" w:sz="0" w:space="0" w:color="auto"/>
          </w:divBdr>
        </w:div>
        <w:div w:id="1791393422">
          <w:marLeft w:val="0"/>
          <w:marRight w:val="0"/>
          <w:marTop w:val="0"/>
          <w:marBottom w:val="0"/>
          <w:divBdr>
            <w:top w:val="none" w:sz="0" w:space="0" w:color="auto"/>
            <w:left w:val="none" w:sz="0" w:space="0" w:color="auto"/>
            <w:bottom w:val="none" w:sz="0" w:space="0" w:color="auto"/>
            <w:right w:val="none" w:sz="0" w:space="0" w:color="auto"/>
          </w:divBdr>
        </w:div>
        <w:div w:id="1098599406">
          <w:marLeft w:val="0"/>
          <w:marRight w:val="0"/>
          <w:marTop w:val="0"/>
          <w:marBottom w:val="0"/>
          <w:divBdr>
            <w:top w:val="none" w:sz="0" w:space="0" w:color="auto"/>
            <w:left w:val="none" w:sz="0" w:space="0" w:color="auto"/>
            <w:bottom w:val="none" w:sz="0" w:space="0" w:color="auto"/>
            <w:right w:val="none" w:sz="0" w:space="0" w:color="auto"/>
          </w:divBdr>
        </w:div>
        <w:div w:id="1971789421">
          <w:marLeft w:val="0"/>
          <w:marRight w:val="0"/>
          <w:marTop w:val="0"/>
          <w:marBottom w:val="0"/>
          <w:divBdr>
            <w:top w:val="none" w:sz="0" w:space="0" w:color="auto"/>
            <w:left w:val="none" w:sz="0" w:space="0" w:color="auto"/>
            <w:bottom w:val="none" w:sz="0" w:space="0" w:color="auto"/>
            <w:right w:val="none" w:sz="0" w:space="0" w:color="auto"/>
          </w:divBdr>
        </w:div>
        <w:div w:id="1097561934">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sChild>
    </w:div>
    <w:div w:id="2041081335">
      <w:bodyDiv w:val="1"/>
      <w:marLeft w:val="0"/>
      <w:marRight w:val="0"/>
      <w:marTop w:val="0"/>
      <w:marBottom w:val="0"/>
      <w:divBdr>
        <w:top w:val="none" w:sz="0" w:space="0" w:color="auto"/>
        <w:left w:val="none" w:sz="0" w:space="0" w:color="auto"/>
        <w:bottom w:val="none" w:sz="0" w:space="0" w:color="auto"/>
        <w:right w:val="none" w:sz="0" w:space="0" w:color="auto"/>
      </w:divBdr>
      <w:divsChild>
        <w:div w:id="869146472">
          <w:marLeft w:val="0"/>
          <w:marRight w:val="0"/>
          <w:marTop w:val="0"/>
          <w:marBottom w:val="0"/>
          <w:divBdr>
            <w:top w:val="none" w:sz="0" w:space="0" w:color="auto"/>
            <w:left w:val="none" w:sz="0" w:space="0" w:color="auto"/>
            <w:bottom w:val="none" w:sz="0" w:space="0" w:color="auto"/>
            <w:right w:val="none" w:sz="0" w:space="0" w:color="auto"/>
          </w:divBdr>
          <w:divsChild>
            <w:div w:id="19826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CFA2-4567-4849-9EC7-A4E77CC1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6178</Words>
  <Characters>33758</Characters>
  <Application>Microsoft Office Word</Application>
  <DocSecurity>0</DocSecurity>
  <Lines>281</Lines>
  <Paragraphs>79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39857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Labor estudio</cp:lastModifiedBy>
  <cp:revision>2</cp:revision>
  <dcterms:created xsi:type="dcterms:W3CDTF">2017-02-10T10:49:00Z</dcterms:created>
  <dcterms:modified xsi:type="dcterms:W3CDTF">2017-02-10T10:49:00Z</dcterms:modified>
</cp:coreProperties>
</file>